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118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R$ 1.014.616,96 · DESCONTOS: R$ 547.411,40 · LÍQUIDO: R$ 467.205,56</w:t></w:r></w:p><w:p><w:pPr><w:pStyle w:val="InstBodyJustified"/></w:pPr><w:r><w:rPr><w:rFonts w:ascii="Arial" w:hAnsi="Arial" w:eastAsia="Arial" w:cs="Arial"/><w:color w:val="334155"/><w:sz w:val="20"/><w:szCs w:val="20"/></w:rPr><w:t xml:space="preserve">• SERVIDORES: 118 · MÉDIA LÍQUIDO: R$ 3.959,37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R$ 16.720,55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R$ 19.595,37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R$ 9.325,33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R$ 8.676,61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R$ 22.704,65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R$ 15.418,22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R$ 11.485,40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R$ 7.250,92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R$ 7.796,42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R$ 8.708,58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R$ 5.599,47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R$ 6.075,53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R$ 5.886,26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R$ 942,70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R$ 7.134,72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R$ 6.095,39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R$ 4.356,32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R$ 10.296,23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R$ 2.727,81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R$ 576,15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R$ 4.288,80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R$ 4.622,37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R$ 8.760,98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R$ 5.807,38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R$ 5.867,62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R$ 7.236,38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R$ 9.285,88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R$ 12.028,85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R$ 3.763,38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R$ 9.167,08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R$ 6.283,87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R$ 2.415,36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R$ 9.926,61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R$ 2.037,95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R$ 17.820,79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R$ 11.708,15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R$ 575,54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R$ 4.542,55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R$ 7.378,53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R$ 13.606,40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R$ 11.058,33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R$ 2.504,53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R$ 5.567,24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R$ 14.349,83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R$ 10.894,23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R$ 2.824,86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R$ 10.271,49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R$ 1.440,15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R$ 7.649,53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R$ 6.657,97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R$ 12.299,00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R$ 2.325,05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R$ 6.663,90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R$ 15.324,85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R$ 5.563,14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R$ 6.111,86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R$ 5.682,34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R$ 5.992,66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R$ 7.021,88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R$ 9.288,13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R$ 13.998,14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R$ 6.528,82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R$ 3.320,63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R$ 9.208,47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R$ 9.013,22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R$ 6.312,59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R$ 5.362,41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R$ 2.157,06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R$ 9.495,31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R$ 18.957,72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R$ 19.040,16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R$ 14.519,31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R$ 7.255,80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R$ 8.573,21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R$ 9.056,94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R$ 8.670,31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R$ 17.643,77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R$ 5.265,05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R$ 6.409,95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R$ 17.351,43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R$ 12.157,50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https://www.camaravotuporanga.sp.gov.br/transparencia/remuneracoes?ordenar=nome&dir=asc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00:07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2026-08-18T00:07:46-03:00</dcterms:created>
  <dcterms:modified xsi:type="dcterms:W3CDTF">2026-08-18T00:07:46-03:00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