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eiCenter"/>
      </w:pPr>
      <w:r>
        <w:rPr>
          <w:rFonts w:ascii="Arial" w:hAnsi="Arial" w:eastAsia="Arial" w:cs="Arial"/>
          <w:color w:val="0F172A"/>
          <w:sz w:val="24"/>
          <w:szCs w:val="24"/>
          <w:b w:val="1"/>
          <w:bCs w:val="1"/>
        </w:rPr>
        <w:t xml:space="preserve">CÂMARA MUNICIPAL DE VOTUPORANGA</w:t>
      </w:r>
    </w:p>
    <w:p>
      <w:pPr>
        <w:pStyle w:val="PeiCenter"/>
      </w:pPr>
      <w:r>
        <w:rPr>
          <w:rFonts w:ascii="Arial" w:hAnsi="Arial" w:eastAsia="Arial" w:cs="Arial"/>
          <w:color w:val="64748B"/>
          <w:sz w:val="20"/>
          <w:szCs w:val="20"/>
        </w:rPr>
        <w:t xml:space="preserve">Poder Legislativo do Município de VOTUPORANGA/SP</w:t>
      </w:r>
    </w:p>
    <w:p>
      <w:pPr>
        <w:pStyle w:val="PeiCenter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CNPJ 49.677.917/0001-14</w:t>
      </w:r>
    </w:p>
    <w:p/>
    <w:p>
      <w:pPr>
        <w:pStyle w:val="PeiCenter"/>
      </w:pPr>
      <w:r>
        <w:rPr>
          <w:rFonts w:ascii="Arial" w:hAnsi="Arial" w:eastAsia="Arial" w:cs="Arial"/>
          <w:color w:val="0F172A"/>
          <w:sz w:val="36"/>
          <w:szCs w:val="36"/>
          <w:b w:val="1"/>
          <w:bCs w:val="1"/>
        </w:rPr>
        <w:t xml:space="preserve">Plano Estratégico Institucional</w:t>
      </w:r>
    </w:p>
    <w:p>
      <w:pPr>
        <w:pStyle w:val="PeiCenter"/>
      </w:pPr>
      <w:r>
        <w:rPr>
          <w:rFonts w:ascii="Arial" w:hAnsi="Arial" w:eastAsia="Arial" w:cs="Arial"/>
          <w:color w:val="334155"/>
          <w:sz w:val="24"/>
          <w:szCs w:val="24"/>
        </w:rPr>
        <w:t xml:space="preserve">Horizonte 2026–2030 — versão 1.1</w:t>
      </w:r>
    </w:p>
    <w:p/>
    <w:p>
      <w:pPr>
        <w:pStyle w:val="PeiBody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Fundamentação legal: Art. 3º, I a III, art. 7º, VII, a, e art. 8º, § 1º, V, da Lei nº 12.527/2011 (Lei de Acesso à Informação).</w:t>
      </w:r>
    </w:p>
    <w:p>
      <w:pPr>
        <w:pStyle w:val="PeiStart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Legislatura: 19ª Legislatura (01/01/2025 – 31/12/2028)</w:t>
      </w:r>
    </w:p>
    <w:p>
      <w:pPr>
        <w:pStyle w:val="PeiStart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Autoridade responsável: DANIEL DAVID — PRESIDENTE</w:t>
      </w:r>
    </w:p>
    <w:p>
      <w:pPr>
        <w:pStyle w:val="PeiStart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Emitido em: 21/09/2026</w:t>
      </w:r>
    </w:p>
    <w:p>
      <w:pPr>
        <w:pStyle w:val="PeiBody"/>
      </w:pPr>
      <w:r>
        <w:rPr>
          <w:rFonts w:ascii="Arial" w:hAnsi="Arial" w:eastAsia="Arial" w:cs="Arial"/>
          <w:color w:val="64748B"/>
          <w:sz w:val="20"/>
          <w:szCs w:val="20"/>
          <w:i w:val="1"/>
          <w:iCs w:val="1"/>
        </w:rPr>
        <w:t xml:space="preserve">Documento institucional de planejamento de longo prazo. Não é lei orçamentária e não substitui o PPA, a LDO, a LOA nem o Relatório de Gestão ou Atividades.</w:t>
      </w:r>
    </w:p>
    <w:p>
      <w:r>
        <w:br w:type="page"/>
      </w:r>
    </w:p>
    <w:p>
      <w:pPr>
        <w:pStyle w:val="PeiStart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VOTUPORANGA/SP, 21/09/2026.</w:t>
      </w:r>
    </w:p>
    <w:p>
      <w:pPr>
        <w:pStyle w:val="PeiStart"/>
      </w:pPr>
      <w:r>
        <w:rPr>
          <w:rFonts w:ascii="Arial" w:hAnsi="Arial" w:eastAsia="Arial" w:cs="Arial"/>
          <w:color w:val="0F172A"/>
          <w:sz w:val="22"/>
          <w:szCs w:val="22"/>
          <w:b w:val="1"/>
          <w:bCs w:val="1"/>
        </w:rPr>
        <w:t xml:space="preserve">Assunto: Plano Estratégico Institucional — horizonte 2026–2030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O DANIEL DAVID — PRESIDENTE apresenta o Plano Estratégico Institucional da CÂMARA MUNICIPAL DE VOTUPORANGA, inscrita no CNPJ 49.677.917/0001-14, para o horizonte 2026–2030, em cumprimento ao art. 3º, I a III, ao art. 7º, VII, a, e ao art. 8º, § 1º, V, da Lei nº 12.527/2011.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Os capítulos seguintes distinguem este plano do Plano Plurianual, identificam a instituição, declaram missão, visão e valores, e apresentam os seis eixos: o que já é regra do portal e o que permanece mensurável no horizonte.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Os quadros numerados indicam a fonte pública de cada meta. O documento não substitui o PPA, a LDO, a LOA nem o Relatório de Gestão ou Atividades.</w:t>
      </w:r>
    </w:p>
    <w:p>
      <w:pPr>
        <w:pStyle w:val="PeiCaption"/>
      </w:pPr>
      <w:r>
        <w:rPr>
          <w:rFonts w:ascii="Arial" w:hAnsi="Arial" w:eastAsia="Arial" w:cs="Arial"/>
          <w:color w:val="0F172A"/>
          <w:sz w:val="28"/>
          <w:szCs w:val="28"/>
          <w:b w:val="1"/>
          <w:bCs w:val="1"/>
        </w:rPr>
        <w:t xml:space="preserve">Sumário</w:t>
      </w:r>
    </w:p>
    <w:p>
      <w:pPr>
        <w:pStyle w:val="PeiStart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1. Apresentação e fundamento</w:t>
      </w:r>
    </w:p>
    <w:p>
      <w:pPr>
        <w:pStyle w:val="PeiStart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2. O que este plano não é</w:t>
      </w:r>
    </w:p>
    <w:p>
      <w:pPr>
        <w:pStyle w:val="PeiStart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3. Identificação institucional</w:t>
      </w:r>
    </w:p>
    <w:p>
      <w:pPr>
        <w:pStyle w:val="PeiStart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4. Missão, visão e valores</w:t>
      </w:r>
    </w:p>
    <w:p>
      <w:pPr>
        <w:pStyle w:val="PeiStart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5. Mapa estratégico</w:t>
      </w:r>
    </w:p>
    <w:p>
      <w:pPr>
        <w:pStyle w:val="PeiStart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6. Objetivos, indicadores e metas</w:t>
      </w:r>
    </w:p>
    <w:p>
      <w:pPr>
        <w:pStyle w:val="PeiStart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7. Iniciativas prioritárias</w:t>
      </w:r>
    </w:p>
    <w:p>
      <w:pPr>
        <w:pStyle w:val="PeiStart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8. Governança e revisão</w:t>
      </w:r>
    </w:p>
    <w:p>
      <w:pPr>
        <w:pStyle w:val="PeiStart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9. Nota metodológica</w:t>
      </w:r>
    </w:p>
    <w:p>
      <w:pPr>
        <w:pStyle w:val="PeiCaption"/>
      </w:pPr>
      <w:r>
        <w:rPr>
          <w:rFonts w:ascii="Arial" w:hAnsi="Arial" w:eastAsia="Arial" w:cs="Arial"/>
          <w:color w:val="0F172A"/>
          <w:sz w:val="28"/>
          <w:szCs w:val="28"/>
          <w:b w:val="1"/>
          <w:bCs w:val="1"/>
        </w:rPr>
        <w:t xml:space="preserve">1. Apresentação e fundamento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Este Plano Estratégico Institucional define a visão de longo prazo da CÂMARA MUNICIPAL DE VOTUPORANGA para o horizonte 2026–2030 (versão 1.1). Serve de guia para orientar a atuação da Casa, alinhando ações às prioridades e aos valores institucionais.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A publicação atende ao art. 3º, I a III, ao art. 7º, VII, a, e ao art. 8º, § 1º, V, da Lei nº 12.527/2011, e ao item 11.7 da Cartilha do Programa Nacional de Transparência Pública (PNTP 2026). O plano é atualizado quando novas diretrizes ou desafios o exigirem.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A autoridade responsável pela publicação é o DANIEL DAVID — PRESIDENTE. Este documento não invoca Resolução ou Ato da Mesa inexistente: é peça institucional de planejamento, passível de formalização posterior pela Mesa Diretora.</w:t>
      </w:r>
    </w:p>
    <w:p>
      <w:pPr>
        <w:pStyle w:val="PeiCaption"/>
      </w:pPr>
      <w:r>
        <w:rPr>
          <w:rFonts w:ascii="Arial" w:hAnsi="Arial" w:eastAsia="Arial" w:cs="Arial"/>
          <w:color w:val="0F172A"/>
          <w:sz w:val="28"/>
          <w:szCs w:val="28"/>
          <w:b w:val="1"/>
          <w:bCs w:val="1"/>
        </w:rPr>
        <w:t xml:space="preserve">2. O que este plano não é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O Plano Estratégico Institucional não se confunde com o Plano Plurianual (PPA). O PPA é instrumento legal de planejamento orçamentário, em regra elaborado pelo Executivo, com programas, ações e metas de quatro anos. Este plano define visão de longo prazo, objetivos, indicadores e metas de gestão, transparência e atendimento; não fixa despesa e não substitui PPA, LDO ou LOA.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Tampouco é prestação de contas anual. O Relatório de Gestão ou Atividades (item 11.2) evidencia o que foi realizado no exercício encerrado. O PEI declara o que já é regra do portal e olha para a frente apenas no que ainda é qualidade, prazo e avaliação externa — não relança como novidade o que o sistema já faz. Os dois documentos se articulam: o relatório anual é o instrumento ordinário de acompanhamento das metas aqui declaradas.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PPA — Plano Plurianual — https://www.camaravotuporanga.sp.gov.br/transparencia/ppa-plano-plurianual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LDO — https://www.camaravotuporanga.sp.gov.br/transparencia/ldo-lei-diretrizes-orcamentarias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LOA — https://www.camaravotuporanga.sp.gov.br/transparencia/loa-lei-orcamentaria-anual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Relatório de Gestão ou Atividades — https://www.camaravotuporanga.sp.gov.br/transparencia/relatorio-gestao-atividades</w:t>
      </w:r>
    </w:p>
    <w:p>
      <w:pPr>
        <w:pStyle w:val="PeiCaption"/>
      </w:pPr>
      <w:r>
        <w:rPr>
          <w:rFonts w:ascii="Arial" w:hAnsi="Arial" w:eastAsia="Arial" w:cs="Arial"/>
          <w:color w:val="0F172A"/>
          <w:sz w:val="28"/>
          <w:szCs w:val="28"/>
          <w:b w:val="1"/>
          <w:bCs w:val="1"/>
        </w:rPr>
        <w:t xml:space="preserve">3. Identificação institucional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A CÂMARA MUNICIPAL DE VOTUPORANGA, Poder Legislativo do Município de VOTUPORANGA/SP, publica este plano para que o cidadão conheça as prioridades de longo prazo da Casa e possa acompanhar o grau de atendimento pelas listagens já disponíveis no portal.</w:t>
      </w:r>
    </w:p>
    <w:p>
      <w:pPr>
        <w:pStyle w:val="PeiCaption"/>
      </w:pPr>
      <w:r>
        <w:rPr>
          <w:rFonts w:ascii="Arial" w:hAnsi="Arial" w:eastAsia="Arial" w:cs="Arial"/>
          <w:color w:val="0F172A"/>
          <w:sz w:val="20"/>
          <w:szCs w:val="20"/>
          <w:b w:val="1"/>
          <w:bCs w:val="1"/>
        </w:rPr>
        <w:t xml:space="preserve">Quadro 1 — Identificação institucional</w:t>
      </w:r>
    </w:p>
    <w:tbl>
      <w:tblGrid>
        <w:gridCol w:w="4680" w:type="dxa"/>
        <w:gridCol w:w="4680" w:type="dxa"/>
      </w:tblGrid>
      <w:tblPr>
        <w:tblStyle w:val="PeiTable"/>
      </w:tblPr>
      <w:tr>
        <w:trPr/>
        <w:tc>
          <w:tcPr>
            <w:tcW w:w="4680" w:type="dxa"/>
            <w:vAlign w:val="center"/>
            <w:shd w:val="clear" w:fill="F8FAFC"/>
            <w:noWrap/>
          </w:tcPr>
          <w:p>
            <w:pPr/>
            <w:r>
              <w:rPr>
                <w:rFonts w:ascii="Arial" w:hAnsi="Arial" w:eastAsia="Arial" w:cs="Arial"/>
                <w:color w:val="475569"/>
                <w:sz w:val="18"/>
                <w:szCs w:val="18"/>
                <w:b w:val="1"/>
                <w:bCs w:val="1"/>
              </w:rPr>
              <w:t xml:space="preserve">Item</w:t>
            </w:r>
          </w:p>
        </w:tc>
        <w:tc>
          <w:tcPr>
            <w:tcW w:w="4680" w:type="dxa"/>
            <w:vAlign w:val="center"/>
            <w:shd w:val="clear" w:fill="F8FAFC"/>
            <w:noWrap/>
          </w:tcPr>
          <w:p>
            <w:pPr/>
            <w:r>
              <w:rPr>
                <w:rFonts w:ascii="Arial" w:hAnsi="Arial" w:eastAsia="Arial" w:cs="Arial"/>
                <w:color w:val="475569"/>
                <w:sz w:val="18"/>
                <w:szCs w:val="18"/>
                <w:b w:val="1"/>
                <w:bCs w:val="1"/>
              </w:rPr>
              <w:t xml:space="preserve">Informação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Entidade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CÂMARA MUNICIPAL DE VOTUPORANGA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CNPJ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49.677.917/0001-14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Poder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Legislativo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Município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VOTUPORANGA/SP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Endereço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RUA VENEZUELA, 3819 — VILA AMÉRICA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Telefone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(17)3421-1188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E-mail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administracao@camaravotuporanga.sp.gov.br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Sítio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http://www.camaravotuporanga.sp.gov.br</w:t>
            </w:r>
          </w:p>
        </w:tc>
      </w:tr>
    </w:tbl>
    <w:p>
      <w:pPr>
        <w:pStyle w:val="PeiStart"/>
      </w:pPr>
      <w:r>
        <w:rPr>
          <w:rFonts w:ascii="Arial" w:hAnsi="Arial" w:eastAsia="Arial" w:cs="Arial"/>
          <w:color w:val="64748B"/>
          <w:sz w:val="18"/>
          <w:szCs w:val="18"/>
          <w:i w:val="1"/>
          <w:iCs w:val="1"/>
        </w:rPr>
        <w:t xml:space="preserve">Fonte: Portal institucional — cadastro da entidade.</w:t>
      </w:r>
    </w:p>
    <w:p>
      <w:pPr>
        <w:pStyle w:val="PeiCaption"/>
      </w:pPr>
      <w:r>
        <w:rPr>
          <w:rFonts w:ascii="Arial" w:hAnsi="Arial" w:eastAsia="Arial" w:cs="Arial"/>
          <w:color w:val="0F172A"/>
          <w:sz w:val="28"/>
          <w:szCs w:val="28"/>
          <w:b w:val="1"/>
          <w:bCs w:val="1"/>
        </w:rPr>
        <w:t xml:space="preserve">4. Missão, visão e valores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A missão descreve o dever permanente da Casa. A visão de 2030 é o reconhecimento pela continuidade e pela qualidade do modelo já em vigor. Os valores orientam as decisões de gestão, transparência e atendimento.</w:t>
      </w:r>
    </w:p>
    <w:p>
      <w:pPr>
        <w:pStyle w:val="PeiCaption"/>
      </w:pPr>
      <w:r>
        <w:rPr>
          <w:rFonts w:ascii="Arial" w:hAnsi="Arial" w:eastAsia="Arial" w:cs="Arial"/>
          <w:color w:val="0F172A"/>
          <w:sz w:val="20"/>
          <w:szCs w:val="20"/>
          <w:b w:val="1"/>
          <w:bCs w:val="1"/>
        </w:rPr>
        <w:t xml:space="preserve">Quadro 2 — Missão, visão e valores</w:t>
      </w:r>
    </w:p>
    <w:tbl>
      <w:tblGrid>
        <w:gridCol w:w="4680" w:type="dxa"/>
        <w:gridCol w:w="4680" w:type="dxa"/>
      </w:tblGrid>
      <w:tblPr>
        <w:tblStyle w:val="PeiTable"/>
      </w:tblPr>
      <w:tr>
        <w:trPr/>
        <w:tc>
          <w:tcPr>
            <w:tcW w:w="4680" w:type="dxa"/>
            <w:vAlign w:val="center"/>
            <w:shd w:val="clear" w:fill="F8FAFC"/>
            <w:noWrap/>
          </w:tcPr>
          <w:p>
            <w:pPr/>
            <w:r>
              <w:rPr>
                <w:rFonts w:ascii="Arial" w:hAnsi="Arial" w:eastAsia="Arial" w:cs="Arial"/>
                <w:color w:val="475569"/>
                <w:sz w:val="18"/>
                <w:szCs w:val="18"/>
                <w:b w:val="1"/>
                <w:bCs w:val="1"/>
              </w:rPr>
              <w:t xml:space="preserve">Elemento</w:t>
            </w:r>
          </w:p>
        </w:tc>
        <w:tc>
          <w:tcPr>
            <w:tcW w:w="4680" w:type="dxa"/>
            <w:vAlign w:val="center"/>
            <w:shd w:val="clear" w:fill="F8FAFC"/>
            <w:noWrap/>
          </w:tcPr>
          <w:p>
            <w:pPr/>
            <w:r>
              <w:rPr>
                <w:rFonts w:ascii="Arial" w:hAnsi="Arial" w:eastAsia="Arial" w:cs="Arial"/>
                <w:color w:val="475569"/>
                <w:sz w:val="18"/>
                <w:szCs w:val="18"/>
                <w:b w:val="1"/>
                <w:bCs w:val="1"/>
              </w:rPr>
              <w:t xml:space="preserve">Declaração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Missão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Exercer o Poder Legislativo municipal com independência, publicidade e zelo pelo erário, assegurando ao cidadão o acompanhamento integral da atividade parlamentar, da gestão administrativa e do uso dos recursos do duodécimo.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Visão 2030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Ser reconhecida, até 2030, pela continuidade e pela excelência do modelo já em vigor no portal: transparência ativa, canais digitais e atendimento mensurável.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Valor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Legalidade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Valor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Publicidade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Valor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Impessoalidade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Valor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Eficiência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Valor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Integridade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Valor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Acessibilidade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Valor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Proteção de dados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Valor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Controle social</w:t>
            </w:r>
          </w:p>
        </w:tc>
      </w:tr>
    </w:tbl>
    <w:p>
      <w:pPr>
        <w:pStyle w:val="PeiStart"/>
      </w:pPr>
      <w:r>
        <w:rPr>
          <w:rFonts w:ascii="Arial" w:hAnsi="Arial" w:eastAsia="Arial" w:cs="Arial"/>
          <w:color w:val="64748B"/>
          <w:sz w:val="18"/>
          <w:szCs w:val="18"/>
          <w:i w:val="1"/>
          <w:iCs w:val="1"/>
        </w:rPr>
        <w:t xml:space="preserve">Fonte: Plano Estratégico Institucional — versão 1.1.</w:t>
      </w:r>
    </w:p>
    <w:p>
      <w:pPr>
        <w:pStyle w:val="PeiCaption"/>
      </w:pPr>
      <w:r>
        <w:rPr>
          <w:rFonts w:ascii="Arial" w:hAnsi="Arial" w:eastAsia="Arial" w:cs="Arial"/>
          <w:color w:val="0F172A"/>
          <w:sz w:val="28"/>
          <w:szCs w:val="28"/>
          <w:b w:val="1"/>
          <w:bCs w:val="1"/>
        </w:rPr>
        <w:t xml:space="preserve">5. Mapa estratégico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Seis eixos organizam o plano. Todos estão sob controle direto da Câmara: transparência, serviços digitais, atendimento, processo legislativo, gestão do duodécimo e integridade. Nenhum eixo depende de receita própria — a Casa não arrecada receita orçamentária.</w:t>
      </w:r>
    </w:p>
    <w:p>
      <w:pPr>
        <w:pStyle w:val="PeiCaption"/>
      </w:pPr>
      <w:r>
        <w:rPr>
          <w:rFonts w:ascii="Arial" w:hAnsi="Arial" w:eastAsia="Arial" w:cs="Arial"/>
          <w:color w:val="0F172A"/>
          <w:sz w:val="20"/>
          <w:szCs w:val="20"/>
          <w:b w:val="1"/>
          <w:bCs w:val="1"/>
        </w:rPr>
        <w:t xml:space="preserve">Quadro 3 — Eixos do horizonte 2026–2030</w:t>
      </w:r>
    </w:p>
    <w:tbl>
      <w:tblGrid>
        <w:gridCol w:w="3120" w:type="dxa"/>
        <w:gridCol w:w="3120" w:type="dxa"/>
        <w:gridCol w:w="3120" w:type="dxa"/>
      </w:tblGrid>
      <w:tblPr>
        <w:tblStyle w:val="PeiTable"/>
      </w:tblPr>
      <w:tr>
        <w:trPr/>
        <w:tc>
          <w:tcPr>
            <w:tcW w:w="3120" w:type="dxa"/>
            <w:vAlign w:val="center"/>
            <w:shd w:val="clear" w:fill="F8FAFC"/>
            <w:noWrap/>
          </w:tcPr>
          <w:p>
            <w:pPr/>
            <w:r>
              <w:rPr>
                <w:rFonts w:ascii="Arial" w:hAnsi="Arial" w:eastAsia="Arial" w:cs="Arial"/>
                <w:color w:val="475569"/>
                <w:sz w:val="18"/>
                <w:szCs w:val="18"/>
                <w:b w:val="1"/>
                <w:bCs w:val="1"/>
              </w:rPr>
              <w:t xml:space="preserve">Nº</w:t>
            </w:r>
          </w:p>
        </w:tc>
        <w:tc>
          <w:tcPr>
            <w:tcW w:w="3120" w:type="dxa"/>
            <w:vAlign w:val="center"/>
            <w:shd w:val="clear" w:fill="F8FAFC"/>
            <w:noWrap/>
          </w:tcPr>
          <w:p>
            <w:pPr/>
            <w:r>
              <w:rPr>
                <w:rFonts w:ascii="Arial" w:hAnsi="Arial" w:eastAsia="Arial" w:cs="Arial"/>
                <w:color w:val="475569"/>
                <w:sz w:val="18"/>
                <w:szCs w:val="18"/>
                <w:b w:val="1"/>
                <w:bCs w:val="1"/>
              </w:rPr>
              <w:t xml:space="preserve">Eixo</w:t>
            </w:r>
          </w:p>
        </w:tc>
        <w:tc>
          <w:tcPr>
            <w:tcW w:w="3120" w:type="dxa"/>
            <w:vAlign w:val="center"/>
            <w:shd w:val="clear" w:fill="F8FAFC"/>
            <w:noWrap/>
          </w:tcPr>
          <w:p>
            <w:pPr/>
            <w:r>
              <w:rPr>
                <w:rFonts w:ascii="Arial" w:hAnsi="Arial" w:eastAsia="Arial" w:cs="Arial"/>
                <w:color w:val="475569"/>
                <w:sz w:val="18"/>
                <w:szCs w:val="18"/>
                <w:b w:val="1"/>
                <w:bCs w:val="1"/>
              </w:rPr>
              <w:t xml:space="preserve">Objetivo</w:t>
            </w:r>
          </w:p>
        </w:tc>
      </w:tr>
      <w:tr>
        <w:trPr/>
        <w:tc>
          <w:tcPr>
            <w:tcW w:w="312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1</w:t>
            </w:r>
          </w:p>
        </w:tc>
        <w:tc>
          <w:tcPr>
            <w:tcW w:w="312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Transparência ativa e dados abertos</w:t>
            </w:r>
          </w:p>
        </w:tc>
        <w:tc>
          <w:tcPr>
            <w:tcW w:w="312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Preservar a conformidade da Casa com a matriz do Programa Nacional de Transparência Pública aplicável ao Poder Legislativo, com os conjuntos de dados já publicados em seção própria e já exportáveis em formato editável.</w:t>
            </w:r>
          </w:p>
        </w:tc>
      </w:tr>
      <w:tr>
        <w:trPr/>
        <w:tc>
          <w:tcPr>
            <w:tcW w:w="312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2</w:t>
            </w:r>
          </w:p>
        </w:tc>
        <w:tc>
          <w:tcPr>
            <w:tcW w:w="312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Serviços digitais e desburocratização</w:t>
            </w:r>
          </w:p>
        </w:tc>
        <w:tc>
          <w:tcPr>
            <w:tcW w:w="312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Preservar o atendimento e o peticionamento eletrônicos já em operação, sem exigência de presença física, com o protocolo digital como via ordinária já instituída.</w:t>
            </w:r>
          </w:p>
        </w:tc>
      </w:tr>
      <w:tr>
        <w:trPr/>
        <w:tc>
          <w:tcPr>
            <w:tcW w:w="312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3</w:t>
            </w:r>
          </w:p>
        </w:tc>
        <w:tc>
          <w:tcPr>
            <w:tcW w:w="312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Atendimento com excelência</w:t>
            </w:r>
          </w:p>
        </w:tc>
        <w:tc>
          <w:tcPr>
            <w:tcW w:w="312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Manter o padrão mensurável de qualidade do atendimento já publicado, com canais de informação e manifestação permanentemente disponíveis e prazos legais já informados no portal.</w:t>
            </w:r>
          </w:p>
        </w:tc>
      </w:tr>
      <w:tr>
        <w:trPr/>
        <w:tc>
          <w:tcPr>
            <w:tcW w:w="312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4</w:t>
            </w:r>
          </w:p>
        </w:tc>
        <w:tc>
          <w:tcPr>
            <w:tcW w:w="312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Processo legislativo aberto e participação</w:t>
            </w:r>
          </w:p>
        </w:tc>
        <w:tc>
          <w:tcPr>
            <w:tcW w:w="312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Continuar a regra já vigente: toda sessão nasce com pauta e documentos digitais publicados previamente no portal, com presença, votação e transmissão também públicas, e com os canais permanentes de participação popular.</w:t>
            </w:r>
          </w:p>
        </w:tc>
      </w:tr>
      <w:tr>
        <w:trPr/>
        <w:tc>
          <w:tcPr>
            <w:tcW w:w="312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5</w:t>
            </w:r>
          </w:p>
        </w:tc>
        <w:tc>
          <w:tcPr>
            <w:tcW w:w="312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Gestão responsável dos recursos</w:t>
            </w:r>
          </w:p>
        </w:tc>
        <w:tc>
          <w:tcPr>
            <w:tcW w:w="312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Executar o duodécimo com economia, tempestividade e publicidade, sem extrapolar a dotação autorizada e sem confundir este plano com teto orçamentário.</w:t>
            </w:r>
          </w:p>
        </w:tc>
      </w:tr>
      <w:tr>
        <w:trPr/>
        <w:tc>
          <w:tcPr>
            <w:tcW w:w="312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6</w:t>
            </w:r>
          </w:p>
        </w:tc>
        <w:tc>
          <w:tcPr>
            <w:tcW w:w="312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Integridade, pessoas e capacitação</w:t>
            </w:r>
          </w:p>
        </w:tc>
        <w:tc>
          <w:tcPr>
            <w:tcW w:w="312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Preservar controle interno, proteção de dados e Escola do Legislativo como rotina já instituída da Casa, com fiscalização contratual designada nos contratos que a exigem.</w:t>
            </w:r>
          </w:p>
        </w:tc>
      </w:tr>
    </w:tbl>
    <w:p>
      <w:pPr>
        <w:pStyle w:val="PeiStart"/>
      </w:pPr>
      <w:r>
        <w:rPr>
          <w:rFonts w:ascii="Arial" w:hAnsi="Arial" w:eastAsia="Arial" w:cs="Arial"/>
          <w:color w:val="64748B"/>
          <w:sz w:val="18"/>
          <w:szCs w:val="18"/>
          <w:i w:val="1"/>
          <w:iCs w:val="1"/>
        </w:rPr>
        <w:t xml:space="preserve">Fonte: Plano Estratégico Institucional — versão 1.1.</w:t>
      </w:r>
    </w:p>
    <w:p>
      <w:pPr>
        <w:pStyle w:val="PeiCaption"/>
      </w:pPr>
      <w:r>
        <w:rPr>
          <w:rFonts w:ascii="Arial" w:hAnsi="Arial" w:eastAsia="Arial" w:cs="Arial"/>
          <w:color w:val="0F172A"/>
          <w:sz w:val="28"/>
          <w:szCs w:val="28"/>
          <w:b w:val="1"/>
          <w:bCs w:val="1"/>
        </w:rPr>
        <w:t xml:space="preserve">6. Objetivos, indicadores e metas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O núcleo deste plano — exigido pelo item 11.7 da Cartilha do PNTP 2026 — são os objetivos estratégicos, os indicadores e as metas. Cada eixo tem um quadro próprio, com linha de base e fonte pública para conferência no portal.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As metas medem continuidade e qualidade do que já está em operação — portal, atendimento, processo legislativo e gestão do duodécimo — não a implantação de sistemas. Não estabelecem programas de governo do Executivo nem fixam despesa.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Posição de referência em 21/09/2026: a pesquisa de satisfação do exercício de 2025 registrou nota média de 4,9 em 18 respostas. Esse número informa o indicador do Eixo 3; não substitui a meta de 2030 nem classifica cumprimento automático.</w:t>
      </w:r>
    </w:p>
    <w:p>
      <w:pPr>
        <w:pStyle w:val="PeiCaption"/>
      </w:pPr>
      <w:r>
        <w:rPr>
          <w:rFonts w:ascii="Arial" w:hAnsi="Arial" w:eastAsia="Arial" w:cs="Arial"/>
          <w:color w:val="0F172A"/>
          <w:sz w:val="20"/>
          <w:szCs w:val="20"/>
          <w:b w:val="1"/>
          <w:bCs w:val="1"/>
        </w:rPr>
        <w:t xml:space="preserve">Quadro 4 — Transparência ativa e dados abertos</w:t>
      </w:r>
    </w:p>
    <w:tbl>
      <w:tblGrid>
        <w:gridCol w:w="4680" w:type="dxa"/>
        <w:gridCol w:w="4680" w:type="dxa"/>
      </w:tblGrid>
      <w:tblPr>
        <w:tblStyle w:val="PeiTable"/>
      </w:tblPr>
      <w:tr>
        <w:trPr/>
        <w:tc>
          <w:tcPr>
            <w:tcW w:w="4680" w:type="dxa"/>
            <w:vAlign w:val="center"/>
            <w:shd w:val="clear" w:fill="F8FAFC"/>
            <w:noWrap/>
          </w:tcPr>
          <w:p>
            <w:pPr/>
            <w:r>
              <w:rPr>
                <w:rFonts w:ascii="Arial" w:hAnsi="Arial" w:eastAsia="Arial" w:cs="Arial"/>
                <w:color w:val="475569"/>
                <w:sz w:val="18"/>
                <w:szCs w:val="18"/>
                <w:b w:val="1"/>
                <w:bCs w:val="1"/>
              </w:rPr>
              <w:t xml:space="preserve">Campo</w:t>
            </w:r>
          </w:p>
        </w:tc>
        <w:tc>
          <w:tcPr>
            <w:tcW w:w="4680" w:type="dxa"/>
            <w:vAlign w:val="center"/>
            <w:shd w:val="clear" w:fill="F8FAFC"/>
            <w:noWrap/>
          </w:tcPr>
          <w:p>
            <w:pPr/>
            <w:r>
              <w:rPr>
                <w:rFonts w:ascii="Arial" w:hAnsi="Arial" w:eastAsia="Arial" w:cs="Arial"/>
                <w:color w:val="475569"/>
                <w:sz w:val="18"/>
                <w:szCs w:val="18"/>
                <w:b w:val="1"/>
                <w:bCs w:val="1"/>
              </w:rPr>
              <w:t xml:space="preserve">Descrição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Objetivo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Preservar a conformidade da Casa com a matriz do Programa Nacional de Transparência Pública aplicável ao Poder Legislativo, com os conjuntos de dados já publicados em seção própria e já exportáveis em formato editável.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Indicador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Itens PNTP aplicáveis das seções 1 a 15 e 20 publicados com evidência no portal; conjuntos do Painel da Transparência já exportáveis em formato editável (CSV, XLSX, JSON, DOCX ou PDF pesquisável).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Meta 2030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Itens aplicáveis em situação atendida nas avaliações de 2027 e seguintes. As exportações editáveis das listagens já existem: o horizonte mede permanência da publicação e o resultado das avaliações, não a implantação do formato editável.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Linha de base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Inventário dos requisitos do PNTP aplicáveis ao Legislativo, com as exportações já oferecidas nas listagens do portal (despesas, contratos, pessoal, prestação de contas e demais aplicativos do Painel).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Fonte pública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Portal da Transparência — Painel e listagens públicas.</w:t>
            </w:r>
          </w:p>
        </w:tc>
      </w:tr>
    </w:tbl>
    <w:p>
      <w:pPr>
        <w:pStyle w:val="PeiStart"/>
      </w:pPr>
      <w:r>
        <w:rPr>
          <w:rFonts w:ascii="Arial" w:hAnsi="Arial" w:eastAsia="Arial" w:cs="Arial"/>
          <w:color w:val="64748B"/>
          <w:sz w:val="18"/>
          <w:szCs w:val="18"/>
          <w:i w:val="1"/>
          <w:iCs w:val="1"/>
        </w:rPr>
        <w:t xml:space="preserve">Fonte: Portal da Transparência — Painel e listagens públicas.</w:t>
      </w:r>
    </w:p>
    <w:p>
      <w:pPr>
        <w:pStyle w:val="PeiCaption"/>
      </w:pPr>
      <w:r>
        <w:rPr>
          <w:rFonts w:ascii="Arial" w:hAnsi="Arial" w:eastAsia="Arial" w:cs="Arial"/>
          <w:color w:val="0F172A"/>
          <w:sz w:val="20"/>
          <w:szCs w:val="20"/>
          <w:b w:val="1"/>
          <w:bCs w:val="1"/>
        </w:rPr>
        <w:t xml:space="preserve">Quadro 5 — Serviços digitais e desburocratização</w:t>
      </w:r>
    </w:p>
    <w:tbl>
      <w:tblGrid>
        <w:gridCol w:w="4680" w:type="dxa"/>
        <w:gridCol w:w="4680" w:type="dxa"/>
      </w:tblGrid>
      <w:tblPr>
        <w:tblStyle w:val="PeiTable"/>
      </w:tblPr>
      <w:tr>
        <w:trPr/>
        <w:tc>
          <w:tcPr>
            <w:tcW w:w="4680" w:type="dxa"/>
            <w:vAlign w:val="center"/>
            <w:shd w:val="clear" w:fill="F8FAFC"/>
            <w:noWrap/>
          </w:tcPr>
          <w:p>
            <w:pPr/>
            <w:r>
              <w:rPr>
                <w:rFonts w:ascii="Arial" w:hAnsi="Arial" w:eastAsia="Arial" w:cs="Arial"/>
                <w:color w:val="475569"/>
                <w:sz w:val="18"/>
                <w:szCs w:val="18"/>
                <w:b w:val="1"/>
                <w:bCs w:val="1"/>
              </w:rPr>
              <w:t xml:space="preserve">Campo</w:t>
            </w:r>
          </w:p>
        </w:tc>
        <w:tc>
          <w:tcPr>
            <w:tcW w:w="4680" w:type="dxa"/>
            <w:vAlign w:val="center"/>
            <w:shd w:val="clear" w:fill="F8FAFC"/>
            <w:noWrap/>
          </w:tcPr>
          <w:p>
            <w:pPr/>
            <w:r>
              <w:rPr>
                <w:rFonts w:ascii="Arial" w:hAnsi="Arial" w:eastAsia="Arial" w:cs="Arial"/>
                <w:color w:val="475569"/>
                <w:sz w:val="18"/>
                <w:szCs w:val="18"/>
                <w:b w:val="1"/>
                <w:bCs w:val="1"/>
              </w:rPr>
              <w:t xml:space="preserve">Descrição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Objetivo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Preservar o atendimento e o peticionamento eletrônicos já em operação, sem exigência de presença física, com o protocolo digital como via ordinária já instituída.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Indicador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Serviços da Carta de Serviços ao Usuário com canal eletrônico já catalogado; permanência de e-SIC, ouvidoria e protocolo digital no portal.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Meta 2030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Manter a Carta com canal eletrônico em todos os serviços catalogados — situação já vigente — e o protocolo digital como via ordinária de peticionamento já instituída. O horizonte mede continuidade, não implantação.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Linha de base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Carta de Serviços ao Usuário já cataloga os serviços com canal eletrônico; o Relatório de Gestão do exercício de 2025 registrou 585 protocolos digitais.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Fonte pública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Portal da Transparência — Carta de Serviços ao Usuário e Consultar Protocolo.</w:t>
            </w:r>
          </w:p>
        </w:tc>
      </w:tr>
    </w:tbl>
    <w:p>
      <w:pPr>
        <w:pStyle w:val="PeiBody"/>
      </w:pPr>
      <w:r>
        <w:rPr>
          <w:rFonts w:ascii="Arial" w:hAnsi="Arial" w:eastAsia="Arial" w:cs="Arial"/>
          <w:color w:val="64748B"/>
          <w:sz w:val="18"/>
          <w:szCs w:val="18"/>
          <w:i w:val="1"/>
          <w:iCs w:val="1"/>
        </w:rPr>
        <w:t xml:space="preserve">Fonte: Portal da Transparência — Carta de Serviços ao Usuário e Consultar Protocolo.</w:t>
      </w:r>
    </w:p>
    <w:p>
      <w:pPr>
        <w:pStyle w:val="PeiCaption"/>
      </w:pPr>
      <w:r>
        <w:rPr>
          <w:rFonts w:ascii="Arial" w:hAnsi="Arial" w:eastAsia="Arial" w:cs="Arial"/>
          <w:color w:val="0F172A"/>
          <w:sz w:val="20"/>
          <w:szCs w:val="20"/>
          <w:b w:val="1"/>
          <w:bCs w:val="1"/>
        </w:rPr>
        <w:t xml:space="preserve">Quadro 6 — Atendimento com excelência</w:t>
      </w:r>
    </w:p>
    <w:tbl>
      <w:tblGrid>
        <w:gridCol w:w="4680" w:type="dxa"/>
        <w:gridCol w:w="4680" w:type="dxa"/>
      </w:tblGrid>
      <w:tblPr>
        <w:tblStyle w:val="PeiTable"/>
      </w:tblPr>
      <w:tr>
        <w:trPr/>
        <w:tc>
          <w:tcPr>
            <w:tcW w:w="4680" w:type="dxa"/>
            <w:vAlign w:val="center"/>
            <w:shd w:val="clear" w:fill="F8FAFC"/>
            <w:noWrap/>
          </w:tcPr>
          <w:p>
            <w:pPr/>
            <w:r>
              <w:rPr>
                <w:rFonts w:ascii="Arial" w:hAnsi="Arial" w:eastAsia="Arial" w:cs="Arial"/>
                <w:color w:val="475569"/>
                <w:sz w:val="18"/>
                <w:szCs w:val="18"/>
                <w:b w:val="1"/>
                <w:bCs w:val="1"/>
              </w:rPr>
              <w:t xml:space="preserve">Campo</w:t>
            </w:r>
          </w:p>
        </w:tc>
        <w:tc>
          <w:tcPr>
            <w:tcW w:w="4680" w:type="dxa"/>
            <w:vAlign w:val="center"/>
            <w:shd w:val="clear" w:fill="F8FAFC"/>
            <w:noWrap/>
          </w:tcPr>
          <w:p>
            <w:pPr/>
            <w:r>
              <w:rPr>
                <w:rFonts w:ascii="Arial" w:hAnsi="Arial" w:eastAsia="Arial" w:cs="Arial"/>
                <w:color w:val="475569"/>
                <w:sz w:val="18"/>
                <w:szCs w:val="18"/>
                <w:b w:val="1"/>
                <w:bCs w:val="1"/>
              </w:rPr>
              <w:t xml:space="preserve">Descrição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Objetivo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Manter o padrão mensurável de qualidade do atendimento já publicado, com canais de informação e manifestação permanentemente disponíveis e prazos legais já informados no portal.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Indicador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Nota média da pesquisa de satisfação do portal (escala 0 a 5) em cada exercício com respostas; canal e prazo legal do e-SIC e da ouvidoria já publicados.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Meta 2030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Nota média igual ou superior a 4,5 em todo exercício com respostas. O canal e o prazo do e-SIC e da ouvidoria permanecem publicados mesmo quando a demanda de um exercício for zero — não há compromisso residual de passar a publicar o canal.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Linha de base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Pesquisa de satisfação do exercício de 2025: nota média 4,9 em 18 respostas. e-SIC e ouvidoria permanecem descritos como canais disponíveis quando não há registro no período.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Fonte pública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Portal da Transparência — Pesquisa de Satisfação, e-SIC e Ouvidoria.</w:t>
            </w:r>
          </w:p>
        </w:tc>
      </w:tr>
    </w:tbl>
    <w:p>
      <w:pPr>
        <w:pStyle w:val="PeiBody"/>
      </w:pPr>
      <w:r>
        <w:rPr>
          <w:rFonts w:ascii="Arial" w:hAnsi="Arial" w:eastAsia="Arial" w:cs="Arial"/>
          <w:color w:val="64748B"/>
          <w:sz w:val="18"/>
          <w:szCs w:val="18"/>
          <w:i w:val="1"/>
          <w:iCs w:val="1"/>
        </w:rPr>
        <w:t xml:space="preserve">Fonte: Portal da Transparência — Pesquisa de Satisfação, e-SIC e Ouvidoria.</w:t>
      </w:r>
    </w:p>
    <w:p>
      <w:pPr>
        <w:pStyle w:val="PeiCaption"/>
      </w:pPr>
      <w:r>
        <w:rPr>
          <w:rFonts w:ascii="Arial" w:hAnsi="Arial" w:eastAsia="Arial" w:cs="Arial"/>
          <w:color w:val="0F172A"/>
          <w:sz w:val="20"/>
          <w:szCs w:val="20"/>
          <w:b w:val="1"/>
          <w:bCs w:val="1"/>
        </w:rPr>
        <w:t xml:space="preserve">Quadro 7 — Processo legislativo aberto e participação</w:t>
      </w:r>
    </w:p>
    <w:tbl>
      <w:tblGrid>
        <w:gridCol w:w="4680" w:type="dxa"/>
        <w:gridCol w:w="4680" w:type="dxa"/>
      </w:tblGrid>
      <w:tblPr>
        <w:tblStyle w:val="PeiTable"/>
      </w:tblPr>
      <w:tr>
        <w:trPr/>
        <w:tc>
          <w:tcPr>
            <w:tcW w:w="4680" w:type="dxa"/>
            <w:vAlign w:val="center"/>
            <w:shd w:val="clear" w:fill="F8FAFC"/>
            <w:noWrap/>
          </w:tcPr>
          <w:p>
            <w:pPr/>
            <w:r>
              <w:rPr>
                <w:rFonts w:ascii="Arial" w:hAnsi="Arial" w:eastAsia="Arial" w:cs="Arial"/>
                <w:color w:val="475569"/>
                <w:sz w:val="18"/>
                <w:szCs w:val="18"/>
                <w:b w:val="1"/>
                <w:bCs w:val="1"/>
              </w:rPr>
              <w:t xml:space="preserve">Campo</w:t>
            </w:r>
          </w:p>
        </w:tc>
        <w:tc>
          <w:tcPr>
            <w:tcW w:w="4680" w:type="dxa"/>
            <w:vAlign w:val="center"/>
            <w:shd w:val="clear" w:fill="F8FAFC"/>
            <w:noWrap/>
          </w:tcPr>
          <w:p>
            <w:pPr/>
            <w:r>
              <w:rPr>
                <w:rFonts w:ascii="Arial" w:hAnsi="Arial" w:eastAsia="Arial" w:cs="Arial"/>
                <w:color w:val="475569"/>
                <w:sz w:val="18"/>
                <w:szCs w:val="18"/>
                <w:b w:val="1"/>
                <w:bCs w:val="1"/>
              </w:rPr>
              <w:t xml:space="preserve">Descrição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Objetivo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Continuar a regra já vigente: toda sessão nasce com pauta e documentos digitais publicados previamente no portal, com presença, votação e transmissão também públicas, e com os canais permanentes de participação popular.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Indicador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Publicação eletrônica e prévia da pauta e dos documentos de cada sessão ordinária e extraordinária — regra já vigente; registro de presença e votação; transmissão das sessões públicas; disponibilidade permanente dos canais de participação (e-SIC, ouvidoria, banco de ideias, orçamento participativo, proposta de projeto de lei e fale conosco).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Meta 2030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Manter a regra já cumprida: toda sessão com pauta e documentos digitais publicados previamente; transmissão em toda sessão pública; canais de participação permanentes, ainda que a demanda de um exercício seja zero. As atas permanecem o registro público posterior já disponível no portal. O horizonte 2030 mede continuidade, não implantação.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Linha de base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No portal, a Agenda já publica pauta, documentos, presença e transmissão; a TV Câmara e os canais de participação já estão em operação. Não há compromisso residual de passar a publicar pauta.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Fonte pública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Portal — Agenda, TV Câmara e canais de participação.</w:t>
            </w:r>
          </w:p>
        </w:tc>
      </w:tr>
    </w:tbl>
    <w:p>
      <w:pPr>
        <w:pStyle w:val="PeiStart"/>
      </w:pPr>
      <w:r>
        <w:rPr>
          <w:rFonts w:ascii="Arial" w:hAnsi="Arial" w:eastAsia="Arial" w:cs="Arial"/>
          <w:color w:val="64748B"/>
          <w:sz w:val="18"/>
          <w:szCs w:val="18"/>
          <w:i w:val="1"/>
          <w:iCs w:val="1"/>
        </w:rPr>
        <w:t xml:space="preserve">Fonte: Portal — Agenda, TV Câmara e canais de participação.</w:t>
      </w:r>
    </w:p>
    <w:p>
      <w:pPr>
        <w:pStyle w:val="PeiCaption"/>
      </w:pPr>
      <w:r>
        <w:rPr>
          <w:rFonts w:ascii="Arial" w:hAnsi="Arial" w:eastAsia="Arial" w:cs="Arial"/>
          <w:color w:val="0F172A"/>
          <w:sz w:val="20"/>
          <w:szCs w:val="20"/>
          <w:b w:val="1"/>
          <w:bCs w:val="1"/>
        </w:rPr>
        <w:t xml:space="preserve">Quadro 8 — Gestão responsável dos recursos</w:t>
      </w:r>
    </w:p>
    <w:tbl>
      <w:tblGrid>
        <w:gridCol w:w="4680" w:type="dxa"/>
        <w:gridCol w:w="4680" w:type="dxa"/>
      </w:tblGrid>
      <w:tblPr>
        <w:tblStyle w:val="PeiTable"/>
      </w:tblPr>
      <w:tr>
        <w:trPr/>
        <w:tc>
          <w:tcPr>
            <w:tcW w:w="4680" w:type="dxa"/>
            <w:vAlign w:val="center"/>
            <w:shd w:val="clear" w:fill="F8FAFC"/>
            <w:noWrap/>
          </w:tcPr>
          <w:p>
            <w:pPr/>
            <w:r>
              <w:rPr>
                <w:rFonts w:ascii="Arial" w:hAnsi="Arial" w:eastAsia="Arial" w:cs="Arial"/>
                <w:color w:val="475569"/>
                <w:sz w:val="18"/>
                <w:szCs w:val="18"/>
                <w:b w:val="1"/>
                <w:bCs w:val="1"/>
              </w:rPr>
              <w:t xml:space="preserve">Campo</w:t>
            </w:r>
          </w:p>
        </w:tc>
        <w:tc>
          <w:tcPr>
            <w:tcW w:w="4680" w:type="dxa"/>
            <w:vAlign w:val="center"/>
            <w:shd w:val="clear" w:fill="F8FAFC"/>
            <w:noWrap/>
          </w:tcPr>
          <w:p>
            <w:pPr/>
            <w:r>
              <w:rPr>
                <w:rFonts w:ascii="Arial" w:hAnsi="Arial" w:eastAsia="Arial" w:cs="Arial"/>
                <w:color w:val="475569"/>
                <w:sz w:val="18"/>
                <w:szCs w:val="18"/>
                <w:b w:val="1"/>
                <w:bCs w:val="1"/>
              </w:rPr>
              <w:t xml:space="preserve">Descrição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Objetivo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Executar o duodécimo com economia, tempestividade e publicidade, sem extrapolar a dotação autorizada e sem confundir este plano com teto orçamentário.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Indicador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Percentual empenhado sobre a dotação atualizada; publicação do Relatório de Gestão do exercício encerrado e do Relatório de Gestão Fiscal; publicação do Plano de Contratação Anual do exercício vigente — seções já existentes no portal.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Meta 2030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Relatório de Gestão do exercício X publicado até abril de X+1; execução sem extrapolar a dotação atualizada; PCA publicado antes do início do exercício de referência.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Linha de base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Exercício de 2025: 96% de execução da dotação atualizada e saldo não empenhado de R$ 336.955,36. Este plano não fixa teto de despesa — apenas o princípio de não exceder o autorizado.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Fonte pública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Portal da Transparência — Despesas, Relatório de Gestão ou Atividades, RGF e Plano de Contratação Anual.</w:t>
            </w:r>
          </w:p>
        </w:tc>
      </w:tr>
    </w:tbl>
    <w:p>
      <w:pPr>
        <w:pStyle w:val="PeiBody"/>
      </w:pPr>
      <w:r>
        <w:rPr>
          <w:rFonts w:ascii="Arial" w:hAnsi="Arial" w:eastAsia="Arial" w:cs="Arial"/>
          <w:color w:val="64748B"/>
          <w:sz w:val="18"/>
          <w:szCs w:val="18"/>
          <w:i w:val="1"/>
          <w:iCs w:val="1"/>
        </w:rPr>
        <w:t xml:space="preserve">Fonte: Portal da Transparência — Despesas, Relatório de Gestão ou Atividades, RGF e Plano de Contratação Anual.</w:t>
      </w:r>
    </w:p>
    <w:p>
      <w:pPr>
        <w:pStyle w:val="PeiCaption"/>
      </w:pPr>
      <w:r>
        <w:rPr>
          <w:rFonts w:ascii="Arial" w:hAnsi="Arial" w:eastAsia="Arial" w:cs="Arial"/>
          <w:color w:val="0F172A"/>
          <w:sz w:val="20"/>
          <w:szCs w:val="20"/>
          <w:b w:val="1"/>
          <w:bCs w:val="1"/>
        </w:rPr>
        <w:t xml:space="preserve">Quadro 9 — Integridade, pessoas e capacitação</w:t>
      </w:r>
    </w:p>
    <w:tbl>
      <w:tblGrid>
        <w:gridCol w:w="4680" w:type="dxa"/>
        <w:gridCol w:w="4680" w:type="dxa"/>
      </w:tblGrid>
      <w:tblPr>
        <w:tblStyle w:val="PeiTable"/>
      </w:tblPr>
      <w:tr>
        <w:trPr/>
        <w:tc>
          <w:tcPr>
            <w:tcW w:w="4680" w:type="dxa"/>
            <w:vAlign w:val="center"/>
            <w:shd w:val="clear" w:fill="F8FAFC"/>
            <w:noWrap/>
          </w:tcPr>
          <w:p>
            <w:pPr/>
            <w:r>
              <w:rPr>
                <w:rFonts w:ascii="Arial" w:hAnsi="Arial" w:eastAsia="Arial" w:cs="Arial"/>
                <w:color w:val="475569"/>
                <w:sz w:val="18"/>
                <w:szCs w:val="18"/>
                <w:b w:val="1"/>
                <w:bCs w:val="1"/>
              </w:rPr>
              <w:t xml:space="preserve">Campo</w:t>
            </w:r>
          </w:p>
        </w:tc>
        <w:tc>
          <w:tcPr>
            <w:tcW w:w="4680" w:type="dxa"/>
            <w:vAlign w:val="center"/>
            <w:shd w:val="clear" w:fill="F8FAFC"/>
            <w:noWrap/>
          </w:tcPr>
          <w:p>
            <w:pPr/>
            <w:r>
              <w:rPr>
                <w:rFonts w:ascii="Arial" w:hAnsi="Arial" w:eastAsia="Arial" w:cs="Arial"/>
                <w:color w:val="475569"/>
                <w:sz w:val="18"/>
                <w:szCs w:val="18"/>
                <w:b w:val="1"/>
                <w:bCs w:val="1"/>
              </w:rPr>
              <w:t xml:space="preserve">Descrição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Objetivo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Preservar controle interno, proteção de dados e Escola do Legislativo como rotina já instituída da Casa, com fiscalização contratual designada nos contratos que a exigem.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Indicador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Documentos de controle interno publicados no exercício; encarregado de dados pessoais já identificado no portal; eventos da Escola do Legislativo; fiscais designados nos contratos vigentes que exigem fiscalização.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Meta 2030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Permanência do encarregado e da política de privacidade já publicados; ao menos um ciclo anual de capacitação da Escola do Legislativo; continuidade da designação de fiscais nos contratos vigentes que exijam fiscalização. O horizonte não cria o encarregado nem o quadro de fiscais — ambos já existem.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Linha de base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Relatório de Gestão de 2025: 13 documentos de controle interno e 18 fiscais de contrato. Carta de Serviços e página do encarregado LGPD já no ar.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Fonte pública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Portal da Transparência — Controle Interno, Fiscais de Contrato, Escola do Legislativo e Controlador de Dados (LGPD).</w:t>
            </w:r>
          </w:p>
        </w:tc>
      </w:tr>
    </w:tbl>
    <w:p>
      <w:pPr>
        <w:pStyle w:val="PeiBody"/>
      </w:pPr>
      <w:r>
        <w:rPr>
          <w:rFonts w:ascii="Arial" w:hAnsi="Arial" w:eastAsia="Arial" w:cs="Arial"/>
          <w:color w:val="64748B"/>
          <w:sz w:val="18"/>
          <w:szCs w:val="18"/>
          <w:i w:val="1"/>
          <w:iCs w:val="1"/>
        </w:rPr>
        <w:t xml:space="preserve">Fonte: Portal da Transparência — Controle Interno, Fiscais de Contrato, Escola do Legislativo e Controlador de Dados (LGPD).</w:t>
      </w:r>
    </w:p>
    <w:p>
      <w:pPr>
        <w:pStyle w:val="PeiCaption"/>
      </w:pPr>
      <w:r>
        <w:rPr>
          <w:rFonts w:ascii="Arial" w:hAnsi="Arial" w:eastAsia="Arial" w:cs="Arial"/>
          <w:color w:val="0F172A"/>
          <w:sz w:val="28"/>
          <w:szCs w:val="28"/>
          <w:b w:val="1"/>
          <w:bCs w:val="1"/>
        </w:rPr>
        <w:t xml:space="preserve">7. Iniciativas prioritárias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As iniciativas abaixo não são programas orçamentários. São ações permanentes de gestão, atendimento e transparência, já em operação no portal. O compromisso até 2030 é aprimorar o instituído e não descontinuar o canal — não criar o que já existe.</w:t>
      </w:r>
    </w:p>
    <w:p>
      <w:pPr>
        <w:pStyle w:val="PeiCaption"/>
      </w:pPr>
      <w:r>
        <w:rPr>
          <w:rFonts w:ascii="Arial" w:hAnsi="Arial" w:eastAsia="Arial" w:cs="Arial"/>
          <w:color w:val="0F172A"/>
          <w:sz w:val="20"/>
          <w:szCs w:val="20"/>
          <w:b w:val="1"/>
          <w:bCs w:val="1"/>
        </w:rPr>
        <w:t xml:space="preserve">Quadro 10 — Iniciativas prioritárias não orçamentárias</w:t>
      </w:r>
    </w:p>
    <w:tbl>
      <w:tblGrid>
        <w:gridCol w:w="4680" w:type="dxa"/>
        <w:gridCol w:w="4680" w:type="dxa"/>
      </w:tblGrid>
      <w:tblPr>
        <w:tblStyle w:val="PeiTable"/>
      </w:tblPr>
      <w:tr>
        <w:trPr/>
        <w:tc>
          <w:tcPr>
            <w:tcW w:w="4680" w:type="dxa"/>
            <w:vAlign w:val="center"/>
            <w:shd w:val="clear" w:fill="F8FAFC"/>
            <w:noWrap/>
          </w:tcPr>
          <w:p>
            <w:pPr/>
            <w:r>
              <w:rPr>
                <w:rFonts w:ascii="Arial" w:hAnsi="Arial" w:eastAsia="Arial" w:cs="Arial"/>
                <w:color w:val="475569"/>
                <w:sz w:val="18"/>
                <w:szCs w:val="18"/>
                <w:b w:val="1"/>
                <w:bCs w:val="1"/>
              </w:rPr>
              <w:t xml:space="preserve">Iniciativa</w:t>
            </w:r>
          </w:p>
        </w:tc>
        <w:tc>
          <w:tcPr>
            <w:tcW w:w="4680" w:type="dxa"/>
            <w:vAlign w:val="center"/>
            <w:shd w:val="clear" w:fill="F8FAFC"/>
            <w:noWrap/>
          </w:tcPr>
          <w:p>
            <w:pPr/>
            <w:r>
              <w:rPr>
                <w:rFonts w:ascii="Arial" w:hAnsi="Arial" w:eastAsia="Arial" w:cs="Arial"/>
                <w:color w:val="475569"/>
                <w:sz w:val="18"/>
                <w:szCs w:val="18"/>
                <w:b w:val="1"/>
                <w:bCs w:val="1"/>
              </w:rPr>
              <w:t xml:space="preserve">Descrição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Portal da Transparência como canal ordinário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O Painel da Transparência já é o índice único dos aplicativos públicos, com busca global e exportação das listagens, sem cadastro para consulta. O compromisso é não descontinuá-lo nem exigir cadastro para a consulta pública.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Carta de Serviços ao Usuário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A Carta de Serviços ao Usuário já está publicada. O compromisso é atualizá-la quando um serviço novo for disponibilizado ou um prazo ou canal mudar — não criá-la.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Participação e controle social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e-SIC, ouvidoria, banco de ideias, orçamento participativo, proposta de projeto de lei e fale conosco já operam no portal. O compromisso é preservá-los como canais permanentes, independentemente do volume de demanda de cada exercício.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Proteção de dados pessoais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Encarregado identificado, política de privacidade e rol de informações classificadas já estão no portal. O compromisso é mantê-los em cumprimento à LGPD e à Lei de Acesso à Informação.</w:t>
            </w:r>
          </w:p>
        </w:tc>
      </w:tr>
      <w:tr>
        <w:trPr/>
        <w:tc>
          <w:tcPr>
            <w:tcW w:w="4680" w:type="dxa"/>
            <w:vAlign w:val="top"/>
            <w:noWrap/>
          </w:tcPr>
          <w:p>
            <w:pPr>
              <w:pStyle w:val="PeiCell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Escola do Legislativo e capacitação</w:t>
            </w:r>
          </w:p>
        </w:tc>
        <w:tc>
          <w:tcPr>
            <w:tcW w:w="4680" w:type="dxa"/>
            <w:vAlign w:val="top"/>
            <w:noWrap/>
          </w:tcPr>
          <w:p>
            <w:pPr>
              <w:pStyle w:val="PeiCellJustified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Realizar ao menos um ciclo anual de formação para servidores e vereadores, com a programação já pública na Escola do Legislativo.</w:t>
            </w:r>
          </w:p>
        </w:tc>
      </w:tr>
    </w:tbl>
    <w:p>
      <w:pPr>
        <w:pStyle w:val="PeiBody"/>
      </w:pPr>
      <w:r>
        <w:rPr>
          <w:rFonts w:ascii="Arial" w:hAnsi="Arial" w:eastAsia="Arial" w:cs="Arial"/>
          <w:color w:val="64748B"/>
          <w:sz w:val="18"/>
          <w:szCs w:val="18"/>
          <w:i w:val="1"/>
          <w:iCs w:val="1"/>
        </w:rPr>
        <w:t xml:space="preserve">Fonte: Portal da Transparência — Carta de Serviços, Painel e canais de participação.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Painel da Transparência — https://www.camaravotuporanga.sp.gov.br/transparencia/painel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Carta de Serviços ao Usuário — https://www.camaravotuporanga.sp.gov.br/transparencia/carta-de-servicos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e-SIC — https://www.camaravotuporanga.sp.gov.br/transparencia/esic/criar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Controlador de Dados (LGPD) — https://www.camaravotuporanga.sp.gov.br/controlador-de-dados-lgpd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Escola do Legislativo — https://www.camaravotuporanga.sp.gov.br/escola-do-legislativo</w:t>
      </w:r>
    </w:p>
    <w:p>
      <w:pPr>
        <w:pStyle w:val="PeiCaption"/>
      </w:pPr>
      <w:r>
        <w:rPr>
          <w:rFonts w:ascii="Arial" w:hAnsi="Arial" w:eastAsia="Arial" w:cs="Arial"/>
          <w:color w:val="0F172A"/>
          <w:sz w:val="28"/>
          <w:szCs w:val="28"/>
          <w:b w:val="1"/>
          <w:bCs w:val="1"/>
        </w:rPr>
        <w:t xml:space="preserve">8. Governança e revisão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O monitoramento ordinário cabe à Mesa Diretora, com apoio do Controle Interno. A cadência é anual: o Relatório de Gestão ou Atividades do exercício encerrado confronta o realizado com o planejado (capítulos 2 e 4 daquele relatório) e aponta desvios.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A revisão extraordinária ocorre quando mudar a diretriz institucional, o marco legal de transparência ou o horizonte do plano. Cada versão vigente substitui a anterior neste endereço; o histórico de alterações fica no controle de versões do código-fonte do portal.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Indicadores de posição (quadro de pessoal, estrutura organizacional, frota e patrimônio) não são reconstruídos como série histórica: o recorte anual significa aquisições, vínculos ou movimentos no exercício.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Relatório de Gestão ou Atividades — https://www.camaravotuporanga.sp.gov.br/transparencia/relatorio-gestao-atividades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Controle Interno — https://www.camaravotuporanga.sp.gov.br/controle-interno</w:t>
      </w:r>
    </w:p>
    <w:p>
      <w:pPr>
        <w:pStyle w:val="PeiCaption"/>
      </w:pPr>
      <w:r>
        <w:rPr>
          <w:rFonts w:ascii="Arial" w:hAnsi="Arial" w:eastAsia="Arial" w:cs="Arial"/>
          <w:color w:val="0F172A"/>
          <w:sz w:val="28"/>
          <w:szCs w:val="28"/>
          <w:b w:val="1"/>
          <w:bCs w:val="1"/>
        </w:rPr>
        <w:t xml:space="preserve">9. Nota metodológica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Os indicadores deste plano são apurados nas bases públicas do portal. Empenhado, liquidado e pago são acumulados até a data da extração. A pesquisa de satisfação considera apenas o exercício com respostas. Canais de participação sem registro no período permanecem “disponíveis”, não “inexistentes”.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A posição de referência eventualmente exibida no capítulo 6 é um retrato da data de emissão, não um julgamento automático de meta cumprida ou descumprida. Este documento não substitui as peças contábeis, o Relatório de Gestão Fiscal nem os relatórios de auditoria do Controle Interno.</w:t>
      </w:r>
    </w:p>
    <w:p>
      <w:pPr>
        <w:pStyle w:val="PeiBody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Versão 1.1, horizonte 2026–2030. Atualizações futuras serão republicadas neste mesmo endereço.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eiBody">
    <w:name w:val="PeiBody"/>
    <w:basedOn w:val="Normal"/>
    <w:pPr>
      <w:jc w:val="both"/>
      <w:spacing w:after="160" w:line="360" w:lineRule="auto"/>
    </w:pPr>
  </w:style>
  <w:style w:type="paragraph" w:customStyle="1" w:styleId="PeiStart">
    <w:name w:val="PeiStart"/>
    <w:basedOn w:val="Normal"/>
    <w:pPr>
      <w:jc w:val="start"/>
      <w:spacing w:after="160" w:line="360" w:lineRule="auto"/>
    </w:pPr>
  </w:style>
  <w:style w:type="paragraph" w:customStyle="1" w:styleId="PeiCell">
    <w:name w:val="PeiCell"/>
    <w:basedOn w:val="Normal"/>
    <w:pPr>
      <w:jc w:val="start"/>
      <w:spacing w:after="60"/>
    </w:pPr>
  </w:style>
  <w:style w:type="paragraph" w:customStyle="1" w:styleId="PeiCellJustified">
    <w:name w:val="PeiCellJustified"/>
    <w:basedOn w:val="Normal"/>
    <w:pPr>
      <w:jc w:val="both"/>
      <w:spacing w:after="60"/>
    </w:pPr>
  </w:style>
  <w:style w:type="paragraph" w:customStyle="1" w:styleId="PeiCenter">
    <w:name w:val="PeiCenter"/>
    <w:basedOn w:val="Normal"/>
    <w:pPr>
      <w:jc w:val="center"/>
      <w:spacing w:after="80" w:line="312" w:lineRule="auto"/>
    </w:pPr>
  </w:style>
  <w:style w:type="paragraph" w:customStyle="1" w:styleId="PeiCaption">
    <w:name w:val="PeiCaption"/>
    <w:basedOn w:val="Normal"/>
    <w:pPr>
      <w:jc w:val="start"/>
      <w:spacing w:before="200" w:after="80"/>
    </w:pPr>
  </w:style>
  <w:style w:type="table" w:customStyle="1" w:styleId="PeiTable">
    <w:name w:val="Pei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8FAFC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2026-09-21T12:31:05-03:00</dcterms:created>
  <dcterms:modified xsi:type="dcterms:W3CDTF">2026-09-21T12:31:05-03:00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