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7/2024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30/10/2024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ALTERAÇÃO DO ART. 153, DA RESOLUÇÃO Nº 5, DE 8 DE AGOSTO DE 2019 - REGIMENTO INTERNO DA CÂMARA MUNICIPAL DE VOTUPORANGA).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7, DE 30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31/10/2024 - ED. Nº 2242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ALTERAÇÃO DO ART. 153, DA RESOLUÇÃO Nº 5, DE 8 DE AGOSTO DE 2019 - REGIMENTO INTERNO DA CÂMARA MUNICIPAL DE VOTUPORANGA).)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INCISO IV, DO ARTIGO 18, DA LEI ORGÂNICA DO MUNICÍPIO, PROMULGO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O art. 153, da </w:t>
      </w:r>
      <w:hyperlink r:id="rId8" w:history="1">
        <w:r>
          <w:rPr/>
          <w:t xml:space="preserve">Resolução nº 5, de 8 de agosto de 2019</w:t>
        </w:r>
      </w:hyperlink>
      <w:r>
        <w:rPr>
          <w:rFonts w:ascii="Arial" w:hAnsi="Arial" w:eastAsia="Arial" w:cs="Arial"/>
        </w:rPr>
        <w:t xml:space="preserve">, passa a vigorar com a seguinte redação: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“Art. 153.</w:t>
      </w:r>
      <w:r>
        <w:rPr>
          <w:rFonts w:ascii="Arial" w:hAnsi="Arial" w:eastAsia="Arial" w:cs="Arial"/>
        </w:rPr>
        <w:t xml:space="preserve"> Será de exclusiva competência da Mesa a apresentação de Projeto de Decreto Legislativo a que se referem os incisos I, III e V do art. 150.</w:t>
      </w:r>
      <w:r>
        <w:rPr>
          <w:rFonts w:ascii="Arial" w:hAnsi="Arial" w:eastAsia="Arial" w:cs="Arial"/>
          <w:b w:val="1"/>
          <w:bCs w:val="1"/>
        </w:rPr>
        <w:t xml:space="preserve">”</w:t>
      </w:r>
      <w:r>
        <w:rPr>
          <w:rFonts w:ascii="Arial" w:hAnsi="Arial" w:eastAsia="Arial" w:cs="Arial"/>
        </w:rPr>
        <w:t xml:space="preserve"> (NR)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Plenário “Dr. Octávio Viscardi”, 30 de outubro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Publicado e registrado na Secretaria de Expedientes, Arquivo e Apoio a Órgãos da Câmara, em 30 de outubro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THIAGO RUVIERI DELALIBERA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Administrativo em exercício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Resolução originou-se no Projeto de Resolução nº 6/2024 de autoria da Mesa Diretora.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leinasnuvens.com.br/legislacao/SP/votuporanga/resolucao/2019/agosto/519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2026-10-20T02:23:00-03:00</dcterms:created>
  <dcterms:modified xsi:type="dcterms:W3CDTF">2026-10-20T02:23:00-03:00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