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7.217/2024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26/12/2024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DÁ NOVA REDAÇÃO AO INCISO II DO ART. 9º DA LEI Nº 6.473, DE 27 DE NOVEMBRO DE 2019).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7.217, DE 26 DE DEZEMBRO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27/12/2024 - ED. Nº 2279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(DÁ NOVA REDAÇÃO AO INCISO II DO ART. 9º DA LEI Nº 6.473, DE 27 DE NOVEMBRO DE 2019).)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O inciso II do art. 9º da </w:t>
      </w:r>
      <w:hyperlink r:id="rId8" w:history="1">
        <w:r>
          <w:rPr/>
          <w:t xml:space="preserve">Lei nº 6.473, de 27 de novembro de 2019</w:t>
        </w:r>
      </w:hyperlink>
      <w:r>
        <w:rPr>
          <w:rFonts w:ascii="Arial" w:hAnsi="Arial" w:eastAsia="Arial" w:cs="Arial"/>
        </w:rPr>
        <w:t xml:space="preserve"> passa a vigorar com a seguinte redação: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“Art. 9º</w:t>
      </w:r>
      <w:r>
        <w:rPr>
          <w:rFonts w:ascii="Arial" w:hAnsi="Arial" w:eastAsia="Arial" w:cs="Arial"/>
        </w:rPr>
        <w:t xml:space="preserve">  .....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 -  .....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II - que possua, no máximo, onze anos de fabricação;</w:t>
      </w:r>
      <w:r>
        <w:rPr>
          <w:rFonts w:ascii="Arial" w:hAnsi="Arial" w:eastAsia="Arial" w:cs="Arial"/>
          <w:b w:val="1"/>
          <w:bCs w:val="1"/>
        </w:rPr>
        <w:t xml:space="preserve">”</w:t>
      </w:r>
      <w:r>
        <w:rPr>
          <w:rFonts w:ascii="Arial" w:hAnsi="Arial" w:eastAsia="Arial" w:cs="Arial"/>
        </w:rPr>
        <w:t xml:space="preserve"> (NR)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26 de dezembro de 2024.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194/2024 de autoria do Vereador Cabo Renato Abdala.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02:23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56980/lei-ordinaria-6473-disciplina-o-uso-do-sistema-viario-urbano-municipal-para-exploracao-de-servico-de-transporte-remunerado-privado-individual-de-passageiros-intermediado-por-aplicativos-e-da-outras-providenci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2026-10-20T02:23:02-03:00</dcterms:created>
  <dcterms:modified xsi:type="dcterms:W3CDTF">2026-10-20T02:23:02-03:00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