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7.197/2024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19/11/2024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7.032, DE 23 DE NOVEMBRO DE 2023, E N° 7.033, DE 23 DE NOVEMBRO DE 2023, E ABERTURA DE CRÉDITO ADICIONAL SUPLEMENTAR NO VALOR DE R$ 22.700,00).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7.197, DE 19 DE NOVEMBRO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19/11/2024 - ED. Nº 2254A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7.032, DE 23 DE NOVEMBRO DE 2023, E N° 7.033, DE 23 DE NOVEMBRO DE 2023, E ABERTURA DE CRÉDITO ADICIONAL SUPLEMENTAR NO VALOR DE R$ 22.700,00).)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o Poder Executivo autorizado a adequar os anexos III e IV da </w:t>
      </w:r>
      <w:hyperlink r:id="rId8" w:history="1">
        <w:r>
          <w:rPr/>
          <w:t xml:space="preserve">Lei n° 7.032, de 23 de novembro de 2023</w:t>
        </w:r>
      </w:hyperlink>
      <w:r>
        <w:rPr>
          <w:rFonts w:ascii="Arial" w:hAnsi="Arial" w:eastAsia="Arial" w:cs="Arial"/>
        </w:rPr>
        <w:t xml:space="preserve">, Plano Plurianual para o período de 2022 a 2025.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Fica o Poder Executivo autorizado a adequar os programas, metas e ações da </w:t>
      </w:r>
      <w:hyperlink r:id="rId9" w:history="1">
        <w:r>
          <w:rPr/>
          <w:t xml:space="preserve">Lei n° 7.033, de 23 de novembro de 2023</w:t>
        </w:r>
      </w:hyperlink>
      <w:r>
        <w:rPr>
          <w:rFonts w:ascii="Arial" w:hAnsi="Arial" w:eastAsia="Arial" w:cs="Arial"/>
        </w:rPr>
        <w:t xml:space="preserve">, Lei de Diretrizes Orçamentárias para o exercício de 2024.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Fica o Poder Executivo autorizado a abrir crédito adicional suplementar no Orçamento Anual do Município de Votuporanga para o exercício de 2024 no valor de R$ 22.700,00 (vinte e dois mil e setecentos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02 - Prefeitura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14 – Secretaria Municipal da Cultura e Turismo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Executora: 02 – Departamento de Cultura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13 – Cultura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392 – Difusão Cultural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0010 – Eventos e Projetos Culturais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Atividade 2089 – Desenvolvimento das Atividades Programadas na Cultura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3.0.00.00 Despesas Correntes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3.3.00.00 Outras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3.3.90.30 Material de Consumo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05 - Transferências e Convênios Federais - Vinculados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R$ 15.900,00                                                                               1751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4.0.00.00 Despesas de Capital         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4.4.00.00 Investimentos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4.4.90.52 Equipamentos e Material Permanente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05 - Transferências e Convênios Federais - Vinculados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R$ 6.800,00                                                                                 1755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A cobertura do crédito autorizado pelo artigo 3º será efetuada mediante a utilização dos recursos nos termos previstos no artigo 43, § 1º, inciso II da </w:t>
      </w:r>
      <w:hyperlink r:id="rId10" w:history="1">
        <w:r>
          <w:rPr/>
          <w:t xml:space="preserve">Lei Federal nº 4.320/64</w:t>
        </w:r>
      </w:hyperlink>
      <w:r>
        <w:rPr>
          <w:rFonts w:ascii="Arial" w:hAnsi="Arial" w:eastAsia="Arial" w:cs="Arial"/>
        </w:rPr>
        <w:t xml:space="preserve"> que trata do excesso de arrecadação considerando a tendência do exercício.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</w:t>
      </w:r>
      <w:r>
        <w:rPr>
          <w:rFonts w:ascii="Arial" w:hAnsi="Arial" w:eastAsia="Arial" w:cs="Arial"/>
        </w:rPr>
        <w:t xml:space="preserve"> Esta Lei entra em vigor na data de sua publicação.                                        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19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Marcelo Roncolato Cambrais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Superintendente da SAEV Ambiental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Legislativos,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Juliana de Cássia Fernandes Dias Moreno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Respondendo pela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00960/lei-ordinaria-7032-dispoe-sobre-alteracao-da-lei-no-6798-14-de-dezembro-de-2021" TargetMode="External"/><Relationship Id="rId9" Type="http://schemas.openxmlformats.org/officeDocument/2006/relationships/hyperlink" Target="https://pesquisadeleis.com.br/sp/votuporanga/legislacao/100959/lei-ordinaria-7033-dispoe-sobre-as-diretrizes-para-elaboracao-e-execucao-da-lei-orcamentarias-para-o-exercicio-de-2024" TargetMode="External"/><Relationship Id="rId10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2026-10-20T02:24:16-03:00</dcterms:created>
  <dcterms:modified xsi:type="dcterms:W3CDTF">2026-10-20T02:24:16-03:00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