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7.525/2026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16/09/2026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RECONHECE A LOGOMARCA OFICIAL DAS COMEMORAÇÕES DOS 90 ANOS DE VOTUPORANGA E DÁ OUTRAS PROVIDÊNCIAS.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7.525, DE 16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2696A - PÁG. Nº 5-6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(RECONHECE A LOGOMARCA OFICIAL DAS COMEMORAÇÕES DOS 90 ANOS DE VOTUPORANGA E DÁ OUTRAS PROVIDÊNCIAS.)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hyperlink r:id="rId8" w:history="1">
        <w:r>
          <w:rPr/>
          <w:t xml:space="preserve"/>
        </w:r>
      </w:hyperlink>
      <w:r>
        <w:rPr>
          <w:rFonts w:ascii="Arial" w:hAnsi="Arial" w:eastAsia="Arial" w:cs="Arial"/>
        </w:rPr>
        <w:t xml:space="preserve">Art. 1º</w:t>
      </w:r>
      <w:r>
        <w:rPr>
          <w:rFonts w:ascii="Arial" w:hAnsi="Arial" w:eastAsia="Arial" w:cs="Arial"/>
        </w:rPr>
        <w:t xml:space="preserve"> Fica reconhecida como Logomarca Oficial dos 90 Anos de Votuporanga a identidade visual definida pelo Município para representar as comemorações dos 90 (noventa) anos de emancipação político- administrativa de Votuporanga, a serem celebrados no ano de 2027, representada no Anexo Único, que integra esta Lei.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2º</w:t>
      </w:r>
      <w:r>
        <w:rPr>
          <w:rFonts w:ascii="Arial" w:hAnsi="Arial" w:eastAsia="Arial" w:cs="Arial"/>
        </w:rPr>
        <w:t xml:space="preserve"> A Logomarca Oficial dos 90 Anos poderá ser utilizada em materiais institucionais, publicitários, culturais, educacionais e comemorativos relacionados às celebrações do aniversário de 90 anos do Município, observadas as normas de identidade visual e os critérios estabelecidos pelo Poder Executivo.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3º</w:t>
      </w:r>
      <w:r>
        <w:rPr>
          <w:rFonts w:ascii="Arial" w:hAnsi="Arial" w:eastAsia="Arial" w:cs="Arial"/>
        </w:rPr>
        <w:t xml:space="preserve"> A utilização da logomarca de que trata esta Lei não poderá implicar alteração ou substituição dos símbolos oficiais do Município, nos termos da legislação vigente.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4º</w:t>
      </w:r>
      <w:r>
        <w:rPr>
          <w:rFonts w:ascii="Arial" w:hAnsi="Arial" w:eastAsia="Arial" w:cs="Arial"/>
        </w:rPr>
        <w:t xml:space="preserve"> O Poder Executivo poderá regulamentar esta Lei no que couber.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16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172/2026, de autoria dos vereadores Cabo Renato Abdala, Carlim Despachante, Daniel David, Débora Romani, Engenheiro Glauber Lima, Gaspar, Marcão Braz,Natielle Gama, Osmair Luiz Ferrari, O Wartão, Ricardo Bozo, Sargento Moreno, Sérgio Adriano Pereiro e Vilmar da Farmácia.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2026-10-02T20:50:47-03:00</dcterms:created>
  <dcterms:modified xsi:type="dcterms:W3CDTF">2026-10-02T20:50:47-03:00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