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7.522/2026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15/09/2026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AUTORIZA O PODER EXECUTIVO DESAFETAR ÁREAS TRANSFORMANDO EM BEM DOMINICAL,OBJETIVANDO ALIENAÇÃO, E DETERMINA AFORMA DE PAGAMENTO E DA UTILIZAÇÃO DOS RECURSOS.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7.522, DE 15 DE SETEMBRO DE 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16/09/2026 - ED. Nº 2696A - PÁG. Nº 3-4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(AUTORIZA O PODER EXECUTIVO DESAFETAR ÁREAS TRANSFORMANDO EM BEM DOMINICAL,OBJETIVANDO ALIENAÇÃO, E DETERMINA AFORMA DE PAGAMENTO E DA UTILIZAÇÃO DOS RECURSOS.)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1°</w:t>
      </w:r>
      <w:r>
        <w:rPr>
          <w:rFonts w:ascii="Arial" w:hAnsi="Arial" w:eastAsia="Arial" w:cs="Arial"/>
        </w:rPr>
        <w:t xml:space="preserve"> Fica o Poder Executivo autorizado a desafetar 02 (duas) áreas localizadas no “7º Centro Empresarial Maria dos Santos Facchini”, passando de área verde para bem dominical, com as seguintes medidas e confrontações: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ÁREA “1”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Cadastro Municipal: SE 34 02 01 05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Matrícula: nº 51.110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Imóvel: “Tem início no ponto V-2A, localizado no alinhamento da Avenida Projetada 1 e na divisa com parte do antigo lote 01, atual cadastro SE 34 02 01 04; daí segue em linha reta pelo alinhamento da referida via pública, na distância de 65,02 metros até o ponto M-45, localizado ainda na mesma via pública; daí deflete à direita e segue em curva com desenvolvimento de 15,89 metros e raio de 15,00 metros, até outro ponto denominado M-44; daí deflete à esquerda e segue em curva com desenvolvimento de 18,14 metros e raio de 32,00 metros, até o ponto M-43; daí deflete à direita e segue em curva com desenvolvimento de 13,53 metros e raio de 15,00 metros, até outro ponto denominado M-42, localizado no alinhamento da Avenida Projetada 2; daí segue em linha reta pelo alinhamento da Avenida Projetada 2, na distância de 78,37 metros até o ponto P-05; daí deflete à direita e segue em linha reta, confrontando com parte do antigo lote 01, atual cadastro SE 34 02 01 01, MT 46.830, na distância de 94,76 metros até o ponto P-05A; daí deflete, finalmente, à direita e segue em linha reta, confrontando com parte do antigo lote 01, objeto do cadastro SE 34 02 01 04, na distância de 106,24 metros até o ponto inicial desta descrição, perfazendo uma área de 10.307,83 metros quadrados.”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 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ÁREA “2”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Cadastro Municipal: SE 24 14 01 06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Matrícula: nº 77.579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Imóvel: “Tem início no ponto M-21, definido no plano topográfico municipal pelo eixo X: 57012.2288 e pelo eixo Y: 47276.6154, localizado no alinhamento predial da Avenida Alípio Rodero, divisa com o lote 03; daí segue em linha reta, confrontando com o lote 03, no azimute 293°3830", com a extensão de 14,09 metros, até o ponto V-5; daí deflete à esquerda e segue confrontando com o lote 03, no azimute 233°5942", na extensão de 123,72 metros, até o ponto V-6; daí deflete à esquerda e segue confrontando com o lote 03, no azimute 144°1252", na extensão de 29,20 metros, até o ponto V-7; daí deflete à direita e segue, ainda na mesma confrontação, no azimute 200°4026", na extensão de 12,71 metros, até o ponto V-8; daí deflete à direita e segue, ainda confrontando com o lote 03, no azimute 234°2124", na extensão de 50,88 metros, até o ponto M-18A; daí deflete à esquerda e segue em curva, confrontando com a Faixa Dominial da Rede Ferroviária Federal de propriedade do DNIT – Departamento Nacional de Infraestrutura e Transportes –, sempre 15,00 metros do seu eixo, com raio de 590,08 metros e circunferência de 32,87 metros, até o ponto M-17; daí segue em linha reta, ainda sob a mesma confrontação, no azimute 160°5220", na extensão de 193,30 metros, até o ponto M-16; daí segue, ainda em linha reta, confrontando com a Faixa Dominial da Rede Ferroviária Federal de propriedade do DNIT – Departamento Nacional de Infraestrutura e Transportes –, sempre 15,00 metros do seu eixo, no azimute 160°5220", na extensão de 65,47 metros, até o ponto M-15; daí segue em curva, ainda na mesma confrontação, no desenvolvimento de 21,86 metros e raio de 406,14 metros, até o ponto M-14; daí segue em curva, ainda na mesma confrontação, no desenvolvimento de 54,00 metros e raio de 406,14 metros, até o ponto M-14A; daí deflete à esquerda e segue confrontando com o lote 05, no azimute 22°0702", na extensão de 18,08 metros, até o ponto F-5A, ponto definido na descrição perimétrica da faixa ‘non aedificandi’; daí deflete à esquerda e segue em curva, confrontando com o lote 07, no desenvolvimento de 40,41 metros e raio de 391,14 metros, até o ponto F-5; daí segue em curva na mesma confrontação, no desenvolvimento de 20,97 metros e raio de 391,14 metros, até o ponto F-4; daí segue em linha reta, ainda na mesma confrontação, no azimute 340°5220", na extensão de 32,62 metros, até o ponto F-3A; daí deflete à direita e segue confrontando com o lote 07, no azimute 22°0702", na extensão de 289,92 metros, até o ponto V-3A; daí deflete à esquerda e segue confrontando com o lote 02A, no azimute 293°3830", na extensão de 14,01 metros, até o ponto V-4; daí deflete à direita e segue pela mesma confrontação, no azimute 203°3910", na extensão de 20,00 metros, até o ponto V-1; daí, finalmente, deflete à esquerda e segue pelo alinhamento predial da Avenida Alípio Rodero, no azimute 293°3830", na extensão de 43,93 metros, até o ponto de início desta descrição perimétrica, encerrando uma área de 31.715,52 metros quadrados.”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2°</w:t>
      </w:r>
      <w:r>
        <w:rPr>
          <w:rFonts w:ascii="Arial" w:hAnsi="Arial" w:eastAsia="Arial" w:cs="Arial"/>
        </w:rPr>
        <w:t xml:space="preserve"> As áreas desafetadas no artigo anterior serão alienadas, tendo como finalidade a geração de receita de capital, a qual será aplicada exclusivamente em despesas de capital, na forma de investimentos em obras, equipamentos e instalações nas áreas da educação, saúde, cultura, lazer, esportes e infraestrutura urbana do Município, vedada sua utilização para o financiamento de despesas correntes, nos termos do artigo 44 da </w:t>
      </w:r>
      <w:hyperlink r:id="rId8" w:history="1">
        <w:r>
          <w:rPr/>
          <w:t xml:space="preserve">Lei Complementar Federal nº 101, de 04 de maio de 2000</w:t>
        </w:r>
      </w:hyperlink>
      <w:r>
        <w:rPr>
          <w:rFonts w:ascii="Arial" w:hAnsi="Arial" w:eastAsia="Arial" w:cs="Arial"/>
        </w:rPr>
        <w:t xml:space="preserve">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3°</w:t>
      </w:r>
      <w:r>
        <w:rPr>
          <w:rFonts w:ascii="Arial" w:hAnsi="Arial" w:eastAsia="Arial" w:cs="Arial"/>
        </w:rPr>
        <w:t xml:space="preserve"> A alienação será feita mediante venda na modalidade leilão, em até 100 (cem) parcelas, mensais, iguais e sucessivas, acrescidas de 0,5% de juros ao mês, ou com 10% de desconto sobre o valor remanescente para pagamento à vista, nos termos do artigo 7º, § 1º da </w:t>
      </w:r>
      <w:hyperlink r:id="rId9" w:history="1">
        <w:r>
          <w:rPr/>
          <w:t xml:space="preserve">Lei Complementar nº 471, de 15 de fevereiro de 2022</w:t>
        </w:r>
      </w:hyperlink>
      <w:r>
        <w:rPr>
          <w:rFonts w:ascii="Arial" w:hAnsi="Arial" w:eastAsia="Arial" w:cs="Arial"/>
        </w:rPr>
        <w:t xml:space="preserve">, que estabelece a Política de Desenvolvimento Econômico do Município de Votuporanga.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4°</w:t>
      </w:r>
      <w:r>
        <w:rPr>
          <w:rFonts w:ascii="Arial" w:hAnsi="Arial" w:eastAsia="Arial" w:cs="Arial"/>
        </w:rPr>
        <w:t xml:space="preserve"> A escritura definitiva somente será lavrada após a quitação integral do valor do imóvel.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5°</w:t>
      </w:r>
      <w:r>
        <w:rPr>
          <w:rFonts w:ascii="Arial" w:hAnsi="Arial" w:eastAsia="Arial" w:cs="Arial"/>
        </w:rPr>
        <w:t xml:space="preserve"> As despesas decorrentes da execução desta Lei, serão atendidas com os recursos previstos nas dotações consignadas no orçamento anual, complementadas se necessário.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6°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Paço Municipal “Dr. Tancredo de Almeida Neves”, 15 de setembro de 2026.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Tássia Gélio Coleta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Secretária Municipal de Planejamento urbano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Nilton Cesar Santiago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Secretário Municipal de Relações Institucionais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Publicada e registrada no Departamento de Atos Administrativos e Legislativos, da Secretaria Municipal de Relações Institucionais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Leticia Lopes Isiara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Respondendo pelo Expediente do Departamento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sofreu Emenda da Comissão de Justiça e Redação da Câmara Municipal.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https://www.camaravotuporanga.sp.gov.br/legislacao/9182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planalto.gov.br/ccivil_03/leis/lcp/lcp101.htm" TargetMode="External"/><Relationship Id="rId9" Type="http://schemas.openxmlformats.org/officeDocument/2006/relationships/hyperlink" Target="https://pesquisadeleis.com.br/sp/votuporanga/legislacao/78409/lei-complementar-471-estabelece-a-politica-de-desenvolvimento-economico-do-municipio-de-votuporanga-e-cria-o-conselho-municipal-de-desenvolvimento-economico-comde-e-da-outras-providenci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2026-10-02T23:16:00-03:00</dcterms:created>
  <dcterms:modified xsi:type="dcterms:W3CDTF">2026-10-02T23:16:00-03:00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