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7.521/2026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15/09/2026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INSTITUI O “DIA MUNICIPAL DOS VEÍCULOS EXÓTICOS” E INCLUI O “ENCONTRO MUNICIPAL DE VEÍCULOS EXÓTICOS” NO CALENDÁRIO OFICIAL DE EVENTOS DO MUNICÍPIO DE VOTUPORANGA.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7.521, DE 15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16/09/2026 - ED. Nº 2696 - PÁG. Nº 4-5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(INSTITUI O “DIA MUNICIPAL DOS VEÍCULOS EXÓTICOS” E INCLUI O “ENCONTRO MUNICIPAL DE VEÍCULOS EXÓTICOS” NO CALENDÁRIO OFICIAL DE EVENTOS DO MUNICÍPIO DE VOTUPORANGA.)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Fica instituído o “Dia Municipal dos Veículos Exóticos”, a ser comemorado anualmente em 28 de setembro, passando a integrar o Calendário Oficial de Eventos do Município de Votuporanga.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Parágrafo único.</w:t>
      </w:r>
      <w:r>
        <w:rPr>
          <w:rFonts w:ascii="Arial" w:hAnsi="Arial" w:eastAsia="Arial" w:cs="Arial"/>
        </w:rPr>
        <w:t xml:space="preserve"> Para os efeitos desta Lei, consideram-se veículos exóticos aqueles que, por suas características de raridade, singularidade, relevância histórica, esportiva ou de personalização, despertem interesse público, incluindo veículos clássicos, antigos, esportivos, personalizados, raros, superesportivos e customizados.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Fica incluído no Calendário Oficial de Eventos do Município o Encontro Municipal de Veículos Exóticos, a ser realizado na semana em que recair o dia 23 de abril.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§ 1°</w:t>
      </w:r>
      <w:r>
        <w:rPr>
          <w:rFonts w:ascii="Arial" w:hAnsi="Arial" w:eastAsia="Arial" w:cs="Arial"/>
        </w:rPr>
        <w:t xml:space="preserve"> O evento poderá contar com: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exposição de veículos exóticos, raros e personalizados;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participação de automóveis, motocicletas e outros veículos exóticos, personalizados, clássicos, antigos, esportivos, superesportivos ou de interesse especial;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III - apresentações culturais, educativas e beneficentes; e,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IV - participação de clubes, associações e colecionadores da região.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§ 2°</w:t>
      </w:r>
      <w:r>
        <w:rPr>
          <w:rFonts w:ascii="Arial" w:hAnsi="Arial" w:eastAsia="Arial" w:cs="Arial"/>
        </w:rPr>
        <w:t xml:space="preserve"> A realização do evento poderá ocorrer mediante parceria entre o Poder Executivo, entidades, clubes automotivos e motociclísticos, associações e iniciativa privada, sem criação de despesa pública obrigatória.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3°</w:t>
      </w:r>
      <w:r>
        <w:rPr>
          <w:rFonts w:ascii="Arial" w:hAnsi="Arial" w:eastAsia="Arial" w:cs="Arial"/>
        </w:rPr>
        <w:t xml:space="preserve"> O Poder Executivo poderá regulamentar esta Lei no que couber.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4°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15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Leticia Lopes Isiara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Respondendo pelo Expediente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154/2026, de autoria do vereador Cabo Renato Abdala, e sofreu Emenda da Comissão de Justiça e Redação da Câmara Municipal.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2026-10-02T20:50:49-03:00</dcterms:created>
  <dcterms:modified xsi:type="dcterms:W3CDTF">2026-10-02T20:50:49-03:00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