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LEI ORDINÁRIA Nº 7.510/2026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2026 · Data 26/08/2026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AUTORIZAÇÃO DO PODER EXECUTIVO PARA DOAÇÃO DE FAIXA DE TERRA LOCALIZADA NA RODOVIA PÉRICLES BELLINI AO DEPARTAMENTO DE ESTRADAS DE RODAGEM DO ESTADO DE SÃO PAULO – DER/SP.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LEI ORDINÁRIA Nº 7.510, DE 26 DE AGOSTO DE 2026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PUBLICADO NO DIÁRIO OFICIAL DO MUNICÍPIO EM 27/08/2026 - ED. Nº 2683 - PÁG. Nº 4-5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AUTORIZAÇÃO DO PODER EXECUTIVO PARA DOAÇÃO DE FAIXA DE TERRA LOCALIZADA NA RODOVIA PÉRICLES BELLINI AO DEPARTAMENTO DE ESTRADAS DE RODAGEM DO ESTADO DE SÃO PAULO – DER/SP.)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56, III DA LEI ORGÂNICA DO MUNICÍPIO, SANCIONO E PROMULGO A SEGUINTE LEI: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1º </w:t>
      </w:r>
      <w:r>
        <w:rPr>
          <w:rFonts w:ascii="Arial" w:hAnsi="Arial" w:eastAsia="Arial" w:cs="Arial"/>
        </w:rPr>
        <w:t xml:space="preserve">Fica o Poder Executivo autorizado a doar para o DER – Departamento de Estradas de Rodagem do Estado de São Paulo/SP, faixa de terra localizada na Rodovia Péricles Bellini SP 461, no Km 131+300m entre as estacas 2185 + 7,30m e 2192 + 2,97m, com a seguinte descrição: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IMÓVEL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Assunto: Faixa de terra a ser doada ao Departamento de Estradas de Rodagem (DER), destinada a abertura de via.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Localização: Rodovia Péricles Bellini SP 461, no km 131 + 300m entre as estacas 2185 + 7,30m e 2192 + 2,97m.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Proprietário: Prefeitura do Município de Votuporanga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Município: Votuporanga – SP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Cadastro Municipal: NE.41.13.01 lote 04 (área a ser doada)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Matrícula: 55.241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Área a ser doada: 3.018,52m²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DESCRIÇÃO PERIMÉTRICA: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IMÓVEL: “início no ponto 1 com coordenadas N=7.747.420,774 e E=606.319,032, distante 25,00m do eixo de projeto, na perpendicular da estaca 2185+7,30, deste ponto seguindo em linha reta com azimute de 359°0651", pelo limite da faixa de domínio pretendida pelo projeto, em uma distância de 17,85m, confrontando-se com a área remanescente até o ponto 2 com coordenadas N=7.747.438,624 e E=606.318,756, deste ponto defletindo a esquerda e seguindo em linha reta com azimute de 341°1403", pelo limite da faixa de domínio pretendida pelo projeto, em uma distância de 20,02m, confrontando-se com a área remanescente até o ponto 3 com coordenadas N=7.747.457,584 e E=606.312,314, deste ponto defletindo a esquerda e seguindo em linha reta com azimute 323°1054", pelo limite da faixa de domínio pretendida pelo projeto, em uma distância de 17,71m, confrontando-se com a área remanescente até o ponto 4 com coordenadas N=7.747.471,763 e E=606.301,699, deste ponto defletindo a esquerda e seguindo em linha reta com azimute 302°2937", pelo limite da faixa de domínio pretendida pelo projeto, em uma distância de 17,43m, confrontando-se com a área remanescente até o ponto 5 com coordenadas N=7.747.481,124 e E=606.287,002, deste ponto defletindo a esquerda e seguindo em linha reta com azimute 285°0754", pelo limite da faixa de domínio pretendida pelo projeto, em uma distância de 23,58m, confrontando-se com a área remanescente até o ponto 6 com coordenadas N=7.747.487,279 e E=606.264,239, deste ponto defletindo a direita e seguindo em linha reta com azimute 11°3012", pelo limite da faixa de domínio pretendida pelo projeto, em uma distância de 22,64m, confrontando-se com a área remanescente até o ponto 7 com coordenadas N=7.747.509,465 e E=606.268,754, deste ponto defletindo a direita e seguindo em linha reta com azimute 97°0414", pelo limite da faixa de domínio pretendida pelo projeto, em uma distância de 25,21m, confrontando-se com a área remanescente até o ponto 8 com coordenadas N=7.747.506,361 e E=606.293,775, deste ponto defletindo a esquerda e seguindo em linha reta com azimute 78°1858", pelo limite da faixa de domínio pretendida pelo projeto, em uma distância de 15,01m, confrontando-se com a área remanescente até o ponto 9 com coordenadas N=7.747.509,400 e E=606.308,471, deste ponto defletindo a esquerda e seguindo em linha reta com azimute 62°5420", pelo limite da faixa de domínio pretendida pelo projeto, em uma distância de 11,04m, confrontando-se com a área remanescente até o ponto 10 com coordenadas N=7.747.514,428 e E=606.318,299, deste ponto defletindo a esquerda e seguindo em linha reta com azimute 53°3314", pelo limite da faixa de domínio pretendida pelo projeto, em uma distância de 13,18m, confrontando-se com a área remanescente até o ponto 11 com coordenadas N=7.747.522,256 e E=606.328,898, deste ponto defletindo a esquerda e seguindo em linha reta com azimute 33°0011", pelo limite da faixa de domínio pretendida pelo projeto, em uma distância de 13,65m, confrontando-se com a área remanescente até o ponto 12 com coordenadas N=7.747.533,707 e E=606.336,335, deste ponto defletindo a esquerda e seguindo em linha reta com azimute 25°2337", pelo limite da faixa de domínio pretendida pelo projeto, em uma distância de 22,20m, confrontando-se com a área remanescente até o ponto 13 com coordenadas N=7.747.553,765 e E=606.345,857, distante 25,00m do eixo de projeto, na perpendicular da estaca 2192+2,97, deste ponto defletindo a direita e seguindo em linha reta com azimute 191°2414", pelo limite da faixa de domínio existente, em uma distância de 135,66 m, confrontando-se com a Rodovia SP 461 até o ponto 1, ponto este que é referencial de partida da presente descrição, perfazendo uma área de 3.018,52m² (três mil e dezoito metros quadrados e cinquenta e dois decímetros quadrados).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 </w:t>
      </w:r>
      <w:r>
        <w:rPr>
          <w:rFonts w:ascii="Arial" w:hAnsi="Arial" w:eastAsia="Arial" w:cs="Arial"/>
        </w:rPr>
        <w:t xml:space="preserve">Art. 2º</w:t>
      </w:r>
      <w:r>
        <w:rPr>
          <w:rFonts w:ascii="Arial" w:hAnsi="Arial" w:eastAsia="Arial" w:cs="Arial"/>
        </w:rPr>
        <w:t xml:space="preserve"> As despesas decorrentes da execução desta Lei correrão à conta das dotações orçamentárias próprias, suplementadas, se necessário.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3º </w:t>
      </w:r>
      <w:r>
        <w:rPr>
          <w:rFonts w:ascii="Arial" w:hAnsi="Arial" w:eastAsia="Arial" w:cs="Arial"/>
        </w:rPr>
        <w:t xml:space="preserve">Esta Lei entra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Paço Municipal “Dr. Tancredo de Almeida Neves”, 26 de agosto de 2026.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Jorge Augusto Seba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Prefeito Municipal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Publicada e registrada no Departamento de Atos Administrativos e Legislativos, da Secretaria Municipal de Relações Institucionais e Gabinete Civil, data supra.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Nilton Cesar Santiago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Secretário Municipal de Relações Institucionais e Gabinete Civil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Esta Lei sofreu Emenda da Comissão de Justiça e Redação da Câmara Municipal.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https://www.camaravotuporanga.sp.gov.br/legislacao/9167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04/09/2026 03:58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2026-09-04T03:58:20-03:00</dcterms:created>
  <dcterms:modified xsi:type="dcterms:W3CDTF">2026-09-04T03:58:20-03:00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