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7.324/2025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14/11/2025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DIRETRIZES PARA A CONSCIENTIZAÇÃO SOBRE A SÍNDROME ALCOÓLICA FETAL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7.324, DE 14 DE NOVEMBRO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17/11/2025 - ED. Nº 2498 -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DIRETRIZES PARA A CONSCIENTIZAÇÃO SOBRE A SÍNDROME ALCOÓLICA FETAL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 DO ARTIGO 56, INCISO III, DA LEI ORGÂNICA DO MUNICÍPIO, SANCIONO E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1º </w:t>
      </w:r>
      <w:r>
        <w:rPr>
          <w:rFonts w:ascii="Arial" w:hAnsi="Arial" w:eastAsia="Arial" w:cs="Arial"/>
        </w:rPr>
        <w:t xml:space="preserve">Esta Lei estabelece diretrizes voltadas à conscientização sobre a Síndrome Alcoólica Fetal, com foco na prevenção e orientação da população.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 </w:t>
      </w:r>
      <w:r>
        <w:rPr>
          <w:rFonts w:ascii="Arial" w:hAnsi="Arial" w:eastAsia="Arial" w:cs="Arial"/>
        </w:rPr>
        <w:t xml:space="preserve">Constituem diretrizes desta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o estímulo à divulgação das causas e consequências da Síndrome Alcoólica Fetal;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a promoção de ações de conscientização direcionadas, em especial, às mulheres gestantes;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a utilização de linguagem acessível e de fácil compreensão pelo público.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 O Poder Executivo poderá regulamentar esta Lei, no que couber.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 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14 de novembro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originou-se do Projeto de Lei nº 111/2025, de autoria do vereador Emerson Pereira.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https://www.camaravotuporanga.sp.gov.br/legislacao/8950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07:34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2026-06-16T07:34:46-03:00</dcterms:created>
  <dcterms:modified xsi:type="dcterms:W3CDTF">2026-06-16T07:34:46-03:00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