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20/06/2005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01, DE 07 DE MARÇO DE 2005.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20 DE JUNHO DE 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01, DE 07 DE MARÇO DE 2005.)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parágrafo 1º do art. 1º da </w:t>
      </w:r>
      <w:hyperlink r:id="rId8" w:history="1">
        <w:r>
          <w:rPr/>
          <w:t xml:space="preserve">Resolução nº 01, de 07 de março de 2005</w:t>
        </w:r>
      </w:hyperlink>
      <w:r>
        <w:rPr>
          <w:rFonts w:ascii="Arial" w:hAnsi="Arial" w:eastAsia="Arial" w:cs="Arial"/>
        </w:rPr>
        <w:t xml:space="preserve">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1º  </w:t>
      </w:r>
      <w:r>
        <w:rPr>
          <w:rFonts w:ascii="Arial" w:hAnsi="Arial" w:eastAsia="Arial" w:cs="Arial"/>
        </w:rPr>
        <w:t xml:space="preserve">. . . . 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premiação prevista neste artigo será outorgada sempre na última sessão ordinária de cada semestre do ano legislativo, na forma de diploma às duas entidades que mais comparecerem.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20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20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03/05, de autoria do Vereador Elias Ghiotto.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06:55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5/mar%C3%A7o/10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2026-08-21T06:55:00-03:00</dcterms:created>
  <dcterms:modified xsi:type="dcterms:W3CDTF">2026-08-21T06:55:00-03:00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