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RESOLUÇÃO Nº 2/2001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2001 · Data 16/04/2001 · Status REVOGADA TOTALMENTE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INSTITUI O CÓDIGO DE ÉTICA E DE DECORO PARLAMENTAR.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RESOLUÇÃO Nº 2, DE 16 DE ABRIL DE 2001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(INSTITUI O CÓDIGO DE ÉTICA E DE DECORO PARLAMENTAR.)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INCISO IV, DO ARTIGO 18, DA LEI ORGÂNICA DO MUNICÍPIO PROMULGO A SEGUINTE RESOLUÇÃO:</w:t>
      </w:r>
    </w:p>
    <w:p>
      <w:pPr>
        <w:jc w:val="center"/>
        <w:spacing w:line="360" w:lineRule="auto"/>
      </w:pPr>
      <w:hyperlink r:id="rId8" w:history="1">
        <w:r>
          <w:rPr/>
          <w:t xml:space="preserve"/>
        </w:r>
      </w:hyperlink>
      <w:r>
        <w:rPr>
          <w:rFonts w:ascii="Arial" w:hAnsi="Arial" w:eastAsia="Arial" w:cs="Arial"/>
        </w:rPr>
        <w:t xml:space="preserve">CAPÍTULO 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Dos Deveres Fundamentais do Vereador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 </w:t>
      </w:r>
      <w:r>
        <w:rPr>
          <w:rFonts w:ascii="Arial" w:hAnsi="Arial" w:eastAsia="Arial" w:cs="Arial"/>
        </w:rPr>
        <w:t xml:space="preserve">No exercício do mandato, o Vereador fará observância das normas constitucionais, legais e regimentais e às contidas neste Código, sujeitando-se aos procedimentos disciplinadores nele previstos.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 </w:t>
      </w:r>
      <w:r>
        <w:rPr>
          <w:rFonts w:ascii="Arial" w:hAnsi="Arial" w:eastAsia="Arial" w:cs="Arial"/>
        </w:rPr>
        <w:t xml:space="preserve">São deveres fundamentais dos Vereadores: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 – exercer o mandato com dignidade e respeito a coisa pública e a vontade popular;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 – defender a integralidade do patrimônio municipal;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III – promover a defesa dos interesses municipais;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IV – zelar pelo aprimoramento das instituições democráticas e representativas e, particularmente, pelas prerrogativas do Poder Legislativo;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V – apresentar-se à Câmara durante às sessões ordinárias, extraordinárias e solenes, e participar das reuniões das Comissões de que seja membro.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CAPÍTULO II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Das Vedações ao Exercício do Mandato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3° </w:t>
      </w:r>
      <w:r>
        <w:rPr>
          <w:rFonts w:ascii="Arial" w:hAnsi="Arial" w:eastAsia="Arial" w:cs="Arial"/>
        </w:rPr>
        <w:t xml:space="preserve">É vedado ao Vereador, além de outras vedações presentes na Constituição Federal e na Lei Orgânica do Município: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 – desde a expedição do diploma: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a) firmar ou manter contrato com órgãos da Administração Municipal Direta, Indireta ou Fundacional ou com empresas concessionárias de serviços públicos municipais, salvo quando o contrato obedecer a cláusulas uniformes;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b) aceitar cargo, emprego ou função, no âmbito da Administração Pública Municipal Direta, Indireta ou Fundacional, salvo se mediante aprovação em concurso público e observado o disposto no artigo 61, I, IV e V da Lei Orgânica do Município.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 – desde a posse: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a) ocupar cargo, função ou emprego, na Administração Pública Municipal Direta, Indireta ou Fundacional, de que seja exonerável “ad nutum”, salvo o cargo de Assessoria Direta ou equivalente, desde de que se licencie do exercício do mandato;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b) exercer outro cargo eletivo federal ou estadual;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c) ser proprietário, controlador ou diretor de empresa que goze de favor decorrente de contrato com pessoa jurídica de direito público do Município, ou nela exercer função remunerada;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d) patrocinar causa, junto ao Município, em que seja interessada qualquer das entidades a que se refere a alínea “a” do inciso I, deste artigo.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Parágrafo único.</w:t>
      </w:r>
      <w:r>
        <w:rPr>
          <w:rFonts w:ascii="Arial" w:hAnsi="Arial" w:eastAsia="Arial" w:cs="Arial"/>
        </w:rPr>
        <w:t xml:space="preserve"> A proibição constante da alínea a do inciso I, deste artigo, compreende o Vereador como pessoa física, seu cônjuge ou companheira e pessoas jurídicas direta ou indiretamente por ele controladas.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4º</w:t>
      </w:r>
      <w:r>
        <w:rPr>
          <w:rFonts w:ascii="Arial" w:hAnsi="Arial" w:eastAsia="Arial" w:cs="Arial"/>
        </w:rPr>
        <w:t xml:space="preserve"> Consideram-se incompatíveis com a ética e o decoro parlamentar: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 – o abuso das prerrogativas constitucionais asseguradas aos Vereadores;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 – a percepção de vantagens indevidas, tais como doações, benefícios ou cortesias de empresas, grupos econômicos ou autoridades públicas, ressalvados os brindes sem valor econômico;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III – a prática de irregularidades graves no desempenho do mandato ou de encargos decorrentes;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IV – o abuso do poder econômico no processo eleitoral.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CAPÍTULO III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Da Comissão de Ética e Decoro Parlamentar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5º</w:t>
      </w:r>
      <w:r>
        <w:rPr>
          <w:rFonts w:ascii="Arial" w:hAnsi="Arial" w:eastAsia="Arial" w:cs="Arial"/>
        </w:rPr>
        <w:t xml:space="preserve"> A Comissão de Ética e Decoro Parlamentar sempre será acionada quando for recebida representação contra Vereador por infringência aos dispositivos desta Resolução, da Lei Orgânica, Legislação Eleitoral ou da Constituição Federal.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6º</w:t>
      </w:r>
      <w:r>
        <w:rPr>
          <w:rFonts w:ascii="Arial" w:hAnsi="Arial" w:eastAsia="Arial" w:cs="Arial"/>
        </w:rPr>
        <w:t xml:space="preserve"> A Comissão de Ética e de Decoro Parlamentar será composta de três membros titulares e três suplentes.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7º</w:t>
      </w:r>
      <w:r>
        <w:rPr>
          <w:rFonts w:ascii="Arial" w:hAnsi="Arial" w:eastAsia="Arial" w:cs="Arial"/>
        </w:rPr>
        <w:t xml:space="preserve"> A composição em princípio, será feita de comum acordo entre o Presidente da Câmara e os líderes dos Partidos com assento nesta Casa, nos termos do Regimento Interno da Casa.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8º</w:t>
      </w:r>
      <w:r>
        <w:rPr>
          <w:rFonts w:ascii="Arial" w:hAnsi="Arial" w:eastAsia="Arial" w:cs="Arial"/>
        </w:rPr>
        <w:t xml:space="preserve"> Não havendo acordo, proceder-se-á a escolha dos membros da Comissão por eleição, votando cada Vereador em três membros titulares e três suplentes, mediante cédulas, rubricadas pelo Presidente, contendo o nome dos inscritos, e através de votação secreta, considerando eleitos os mais votados, sendo que, em caso de empate, fica eleito o mais idoso.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Parágrafo único.</w:t>
      </w:r>
      <w:r>
        <w:rPr>
          <w:rFonts w:ascii="Arial" w:hAnsi="Arial" w:eastAsia="Arial" w:cs="Arial"/>
        </w:rPr>
        <w:t xml:space="preserve"> O processo de eleição, será regulamentado por Ato da Mesa.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9º</w:t>
      </w:r>
      <w:r>
        <w:rPr>
          <w:rFonts w:ascii="Arial" w:hAnsi="Arial" w:eastAsia="Arial" w:cs="Arial"/>
        </w:rPr>
        <w:t xml:space="preserve"> As Comissões serão eleitas para uma sessão legislativa, com mandato iniciando a 1º de janeiro e término em 31 de dezembro.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Seção 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Das Vagas, Licenças e Impedimentos da Comissão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10.</w:t>
      </w:r>
      <w:r>
        <w:rPr>
          <w:rFonts w:ascii="Arial" w:hAnsi="Arial" w:eastAsia="Arial" w:cs="Arial"/>
        </w:rPr>
        <w:t xml:space="preserve"> As vagas da Comissão, dar-se-ão: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 – com a renúncia;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 – com a destituição;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III – com a perda do mandato do Vereador.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1º</w:t>
      </w:r>
      <w:r>
        <w:rPr>
          <w:rFonts w:ascii="Arial" w:hAnsi="Arial" w:eastAsia="Arial" w:cs="Arial"/>
        </w:rPr>
        <w:t xml:space="preserve"> A renúncia de qualquer membro da Comissão será ato definitivo, desde de que manifestado por escrito a Presidência da Câmara.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2º</w:t>
      </w:r>
      <w:r>
        <w:rPr>
          <w:rFonts w:ascii="Arial" w:hAnsi="Arial" w:eastAsia="Arial" w:cs="Arial"/>
        </w:rPr>
        <w:t xml:space="preserve"> Os membros da Comissão serão destituídos obrigatoriamente pelo Presidente da Câmara, caso não compareçam, injustificadamente, à três reuniões consecutivas ou cinco alternadas.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3º </w:t>
      </w:r>
      <w:r>
        <w:rPr>
          <w:rFonts w:ascii="Arial" w:hAnsi="Arial" w:eastAsia="Arial" w:cs="Arial"/>
        </w:rPr>
        <w:t xml:space="preserve">As vagas verificadas na Comissão serão preenchidas pelos suplentes, pela ordem, e em caso de licença ou impedimento, perdurará, enquanto persistir a licença ou o impedimento.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Seção II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Do Presidente, Vice-Presidente e Relator da Comissão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11.</w:t>
      </w:r>
      <w:r>
        <w:rPr>
          <w:rFonts w:ascii="Arial" w:hAnsi="Arial" w:eastAsia="Arial" w:cs="Arial"/>
        </w:rPr>
        <w:t xml:space="preserve"> A Comissão logo que constituída, reunir-se-á para eleger o seu Presidente, Vice-Presidente e Relator.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12.</w:t>
      </w:r>
      <w:r>
        <w:rPr>
          <w:rFonts w:ascii="Arial" w:hAnsi="Arial" w:eastAsia="Arial" w:cs="Arial"/>
        </w:rPr>
        <w:t xml:space="preserve"> Compete ao Presidente da Comissão: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 – presidir as reuniões e zelar pela ordem dos trabalhos;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 – convocar as reuniões;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III – receber as matérias destinadas a Comissão;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IV – zelar pela observância dos prazos concedidos à Comissão;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V – representar a Comissão nas relações com Presidente, Mesa e o Plenário;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VI – solicitar substituto à Presidência da Câmara, quando necessário.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1º</w:t>
      </w:r>
      <w:r>
        <w:rPr>
          <w:rFonts w:ascii="Arial" w:hAnsi="Arial" w:eastAsia="Arial" w:cs="Arial"/>
        </w:rPr>
        <w:t xml:space="preserve"> O Presidente terá sempre direito a voto.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2°</w:t>
      </w:r>
      <w:r>
        <w:rPr>
          <w:rFonts w:ascii="Arial" w:hAnsi="Arial" w:eastAsia="Arial" w:cs="Arial"/>
        </w:rPr>
        <w:t xml:space="preserve"> O Presidente será substituído, em suas ausências, impedimentos e licenças pelo Vice-Presidente.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13.</w:t>
      </w:r>
      <w:r>
        <w:rPr>
          <w:rFonts w:ascii="Arial" w:hAnsi="Arial" w:eastAsia="Arial" w:cs="Arial"/>
        </w:rPr>
        <w:t xml:space="preserve"> Compete ao Relator, apresentar parecer quanto as matérias que lhe forem encaminhadas.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Capítulo IV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Das Medidas Disciplinares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14.</w:t>
      </w:r>
      <w:r>
        <w:rPr>
          <w:rFonts w:ascii="Arial" w:hAnsi="Arial" w:eastAsia="Arial" w:cs="Arial"/>
        </w:rPr>
        <w:t xml:space="preserve"> As medidas disciplinares são: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 – advertência;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 – censura;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III – perda temporária do mandato, não excedente de trinta dias;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IV – perda do mandato.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15.</w:t>
      </w:r>
      <w:r>
        <w:rPr>
          <w:rFonts w:ascii="Arial" w:hAnsi="Arial" w:eastAsia="Arial" w:cs="Arial"/>
        </w:rPr>
        <w:t xml:space="preserve"> A advertência é medida disciplinar de competência do Presidente da Câmara, e será aplicada nos casos não capitulados nos arts. 16, 17 e 18, da presente Resolução.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16.</w:t>
      </w:r>
      <w:r>
        <w:rPr>
          <w:rFonts w:ascii="Arial" w:hAnsi="Arial" w:eastAsia="Arial" w:cs="Arial"/>
        </w:rPr>
        <w:t xml:space="preserve"> A censura será verbal ou escrita e será aplicada pelo Presidente da Câmara.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1º</w:t>
      </w:r>
      <w:r>
        <w:rPr>
          <w:rFonts w:ascii="Arial" w:hAnsi="Arial" w:eastAsia="Arial" w:cs="Arial"/>
        </w:rPr>
        <w:t xml:space="preserve"> A censura verbal será aplicada em sessão, quando não couber penalidade mais grave, ao Vereador que: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 – deixar de observar, salvo motivo justificado, os deveres inerentes ao mandato ou os preceitos do Regimento Interno;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 – praticar atos que infrinjam as regras de boa conduta nas dependências da Câmara;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III – perturbar a ordem das sessões ou reuniões.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2º</w:t>
      </w:r>
      <w:r>
        <w:rPr>
          <w:rFonts w:ascii="Arial" w:hAnsi="Arial" w:eastAsia="Arial" w:cs="Arial"/>
        </w:rPr>
        <w:t xml:space="preserve"> A censura escrita será imposta pelo Presidente da Câmara, se outra cominação mais grave, não couber, ao Vereador que: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 – usar, em discurso ou proposição, de expressões atentatórias ao decoro parlamentar;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 – praticar ofensas físicas ou morais a qualquer pessoa, no recinto da Câmara, ou desacatar, por atos ou palavras, outro parlamentar, a Mesa ou a Comissão ou os respectivos Presidentes.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17.</w:t>
      </w:r>
      <w:r>
        <w:rPr>
          <w:rFonts w:ascii="Arial" w:hAnsi="Arial" w:eastAsia="Arial" w:cs="Arial"/>
        </w:rPr>
        <w:t xml:space="preserve"> Considera-se incurso na sanção de perda temporária do exercício do mandato, quando não for aplicável penalidade mais grave o Vereador que: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 – reincidir nas hipóteses do artigo anterior;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 – praticar transgressão grave ou reiterada aos preceitos da Lei Orgânica, do Regimento Interno, e desta Resolução;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III – revelar conteúdo de debates ou deliberações que a Câmara ou Comissão haja resolvido devam ficar secretos;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IV – revelar informações e documentos oficiais de caráter reservado, de que tenha tido conhecimento, na forma regimental.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18.</w:t>
      </w:r>
      <w:r>
        <w:rPr>
          <w:rFonts w:ascii="Arial" w:hAnsi="Arial" w:eastAsia="Arial" w:cs="Arial"/>
        </w:rPr>
        <w:t xml:space="preserve"> Serão punidos com a perda do mandato: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 – a infração de qualquer das proibições referidas nos artigos 3° e 4º, desta Resolução;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 – a prática de qualquer dos atos contrários à ética e ao decoro parlamentar contidos nos artigos 91 e 92, da Lei Orgânica do Município.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Capítulo V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Do Processo Disciplinar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19.</w:t>
      </w:r>
      <w:r>
        <w:rPr>
          <w:rFonts w:ascii="Arial" w:hAnsi="Arial" w:eastAsia="Arial" w:cs="Arial"/>
        </w:rPr>
        <w:t xml:space="preserve"> Recebida a representação, a Comissão de Ética e Decoro Parlamentar, observará os seguintes procedimentos: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 – a denúncia escrita, da infração poderá ser feita por qualquer eleitor, com a exposição dos fatos e a indicação das provas. Se o denunciante for Vereador, ficará impedido de votar sobre a denúncia e de integrar a Comissão, podendo todavia, praticar todos os atos de acusação. Se o denunciante for o Presidente da Comissão, passará a Presidência ao substituto legal, para os atos de processo, e só votará se necessário para completar o quorum de julgamento. Será convocado o suplente do Vereador impedido de votar, o qual não poderá integrar a Comissão;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 – recebendo o Processo, o Presidente da Comissão iniciará os trabalhos, dentro de cinco dias, notificando o denunciado, com a remessa de cópia da denúncia, e os instrumentos que a instruíram, para que, no prazo de dez dias, apresente, defesa prévia, por escrito, indique as provas que pretende produzir e arrole testemunhas, até o máximo de dez. Se estiver ausente no Município, a notificação far-se-á por edital, publicado duas vezes, no órgão oficial, com intervalo de três dias, pelo menos, contado prazo da primeira publicação. Decorrido o prazo de defesa, a Comissão emitirá parecer dentro de cinco dias, opinando pelo prosseguimento ou arquivamento da denúncia, o qual, neste caso, será submetido ao Plenário. Se a Comissão opinar pelo prosseguimento, o Presidente designará desde logo, o início da instrução, e determinará os atos, diligências e audiências que se fizerem necessárias para o depoimento do denunciado e inquirição das testemunhas;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III – o denunciado deverá ser intimado de todos os atos do processo, pessoalmente ou na pessoa de seu procurador, com a antecedência, pelo menos, de vinte e quatro horas, sendo-lhe permitido assistir as diligências e as audiências, bem como formular perguntas e reperguntas às testemunhas e requerer o que for de interesse da defesa;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IV – concluída a instrução, será aberto vista do processo ao denunciado, para razões escritas, no prazo de cinco dias, e após, a Comissão emitirá parecer final, pela procedência ou improcedência da acusação; e,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V </w:t>
      </w:r>
      <w:r>
        <w:rPr>
          <w:rFonts w:ascii="Arial" w:hAnsi="Arial" w:eastAsia="Arial" w:cs="Arial"/>
        </w:rPr>
        <w:t xml:space="preserve">– </w:t>
      </w:r>
      <w:r>
        <w:rPr>
          <w:rFonts w:ascii="Arial" w:hAnsi="Arial" w:eastAsia="Arial" w:cs="Arial"/>
        </w:rPr>
        <w:t xml:space="preserve">solicitará ao Presidente da Câmara a convocação de sessão para o julgamento</w:t>
      </w:r>
      <w:r>
        <w:rPr>
          <w:rFonts w:ascii="Arial" w:hAnsi="Arial" w:eastAsia="Arial" w:cs="Arial"/>
        </w:rPr>
        <w:t xml:space="preserve">. </w:t>
      </w:r>
      <w:r>
        <w:rPr>
          <w:rFonts w:ascii="Arial" w:hAnsi="Arial" w:eastAsia="Arial" w:cs="Arial"/>
        </w:rPr>
        <w:t xml:space="preserve">Na sessão de julgamento o processo será lido, integralmente</w:t>
      </w:r>
      <w:r>
        <w:rPr>
          <w:rFonts w:ascii="Arial" w:hAnsi="Arial" w:eastAsia="Arial" w:cs="Arial"/>
        </w:rPr>
        <w:t xml:space="preserve">, </w:t>
      </w:r>
      <w:r>
        <w:rPr>
          <w:rFonts w:ascii="Arial" w:hAnsi="Arial" w:eastAsia="Arial" w:cs="Arial"/>
        </w:rPr>
        <w:t xml:space="preserve">e</w:t>
      </w:r>
      <w:r>
        <w:rPr>
          <w:rFonts w:ascii="Arial" w:hAnsi="Arial" w:eastAsia="Arial" w:cs="Arial"/>
        </w:rPr>
        <w:t xml:space="preserve">, </w:t>
      </w:r>
      <w:r>
        <w:rPr>
          <w:rFonts w:ascii="Arial" w:hAnsi="Arial" w:eastAsia="Arial" w:cs="Arial"/>
        </w:rPr>
        <w:t xml:space="preserve">a seguir, os Vereadores que o desejarem poderão manifestar-se verbalmente, pelo tempo máximo de quinze min</w:t>
      </w:r>
      <w:r>
        <w:rPr>
          <w:rFonts w:ascii="Arial" w:hAnsi="Arial" w:eastAsia="Arial" w:cs="Arial"/>
        </w:rPr>
        <w:t xml:space="preserve">u</w:t>
      </w:r>
      <w:r>
        <w:rPr>
          <w:rFonts w:ascii="Arial" w:hAnsi="Arial" w:eastAsia="Arial" w:cs="Arial"/>
        </w:rPr>
        <w:t xml:space="preserve">tos cada um, e, ao final, o denunciado, ou seu procurador</w:t>
      </w:r>
      <w:r>
        <w:rPr>
          <w:rFonts w:ascii="Arial" w:hAnsi="Arial" w:eastAsia="Arial" w:cs="Arial"/>
        </w:rPr>
        <w:t xml:space="preserve">, </w:t>
      </w:r>
      <w:r>
        <w:rPr>
          <w:rFonts w:ascii="Arial" w:hAnsi="Arial" w:eastAsia="Arial" w:cs="Arial"/>
        </w:rPr>
        <w:t xml:space="preserve">terá o prazo máximo de duas ho</w:t>
      </w:r>
      <w:r>
        <w:rPr>
          <w:rFonts w:ascii="Arial" w:hAnsi="Arial" w:eastAsia="Arial" w:cs="Arial"/>
        </w:rPr>
        <w:t xml:space="preserve">r</w:t>
      </w:r>
      <w:r>
        <w:rPr>
          <w:rFonts w:ascii="Arial" w:hAnsi="Arial" w:eastAsia="Arial" w:cs="Arial"/>
        </w:rPr>
        <w:t xml:space="preserve">as, para p</w:t>
      </w:r>
      <w:r>
        <w:rPr>
          <w:rFonts w:ascii="Arial" w:hAnsi="Arial" w:eastAsia="Arial" w:cs="Arial"/>
        </w:rPr>
        <w:t xml:space="preserve">r</w:t>
      </w:r>
      <w:r>
        <w:rPr>
          <w:rFonts w:ascii="Arial" w:hAnsi="Arial" w:eastAsia="Arial" w:cs="Arial"/>
        </w:rPr>
        <w:t xml:space="preserve">oduzir sua </w:t>
      </w:r>
      <w:r>
        <w:rPr>
          <w:rFonts w:ascii="Arial" w:hAnsi="Arial" w:eastAsia="Arial" w:cs="Arial"/>
        </w:rPr>
        <w:t xml:space="preserve">defesa </w:t>
      </w:r>
      <w:r>
        <w:rPr>
          <w:rFonts w:ascii="Arial" w:hAnsi="Arial" w:eastAsia="Arial" w:cs="Arial"/>
        </w:rPr>
        <w:t xml:space="preserve">oral;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VI </w:t>
      </w:r>
      <w:r>
        <w:rPr>
          <w:rFonts w:ascii="Arial" w:hAnsi="Arial" w:eastAsia="Arial" w:cs="Arial"/>
        </w:rPr>
        <w:t xml:space="preserve">– </w:t>
      </w:r>
      <w:r>
        <w:rPr>
          <w:rFonts w:ascii="Arial" w:hAnsi="Arial" w:eastAsia="Arial" w:cs="Arial"/>
        </w:rPr>
        <w:t xml:space="preserve">concluída a defesa, proceder-se-á, tantas votações nominais, quantas forem as infrações articuladas na denúncia</w:t>
      </w:r>
      <w:r>
        <w:rPr>
          <w:rFonts w:ascii="Arial" w:hAnsi="Arial" w:eastAsia="Arial" w:cs="Arial"/>
        </w:rPr>
        <w:t xml:space="preserve">. </w:t>
      </w:r>
      <w:r>
        <w:rPr>
          <w:rFonts w:ascii="Arial" w:hAnsi="Arial" w:eastAsia="Arial" w:cs="Arial"/>
        </w:rPr>
        <w:t xml:space="preserve">Cons</w:t>
      </w:r>
      <w:r>
        <w:rPr>
          <w:rFonts w:ascii="Arial" w:hAnsi="Arial" w:eastAsia="Arial" w:cs="Arial"/>
        </w:rPr>
        <w:t xml:space="preserve">i</w:t>
      </w:r>
      <w:r>
        <w:rPr>
          <w:rFonts w:ascii="Arial" w:hAnsi="Arial" w:eastAsia="Arial" w:cs="Arial"/>
        </w:rPr>
        <w:t xml:space="preserve">derar-se-á afastado, temporariamente</w:t>
      </w:r>
      <w:r>
        <w:rPr>
          <w:rFonts w:ascii="Arial" w:hAnsi="Arial" w:eastAsia="Arial" w:cs="Arial"/>
        </w:rPr>
        <w:t xml:space="preserve">, </w:t>
      </w:r>
      <w:r>
        <w:rPr>
          <w:rFonts w:ascii="Arial" w:hAnsi="Arial" w:eastAsia="Arial" w:cs="Arial"/>
        </w:rPr>
        <w:t xml:space="preserve">ou, definitivamente do cargo, o denunciado, que for declarado pelo voto de dois terços</w:t>
      </w:r>
      <w:r>
        <w:rPr>
          <w:rFonts w:ascii="Arial" w:hAnsi="Arial" w:eastAsia="Arial" w:cs="Arial"/>
        </w:rPr>
        <w:t xml:space="preserve">, </w:t>
      </w:r>
      <w:r>
        <w:rPr>
          <w:rFonts w:ascii="Arial" w:hAnsi="Arial" w:eastAsia="Arial" w:cs="Arial"/>
        </w:rPr>
        <w:t xml:space="preserve">dos membros da Câmara, incurso em qualquer das infrações especificadas na denúncia</w:t>
      </w:r>
      <w:r>
        <w:rPr>
          <w:rFonts w:ascii="Arial" w:hAnsi="Arial" w:eastAsia="Arial" w:cs="Arial"/>
        </w:rPr>
        <w:t xml:space="preserve">. </w:t>
      </w:r>
      <w:r>
        <w:rPr>
          <w:rFonts w:ascii="Arial" w:hAnsi="Arial" w:eastAsia="Arial" w:cs="Arial"/>
        </w:rPr>
        <w:t xml:space="preserve">Concluído o julgamen</w:t>
      </w:r>
      <w:r>
        <w:rPr>
          <w:rFonts w:ascii="Arial" w:hAnsi="Arial" w:eastAsia="Arial" w:cs="Arial"/>
        </w:rPr>
        <w:t xml:space="preserve">t</w:t>
      </w:r>
      <w:r>
        <w:rPr>
          <w:rFonts w:ascii="Arial" w:hAnsi="Arial" w:eastAsia="Arial" w:cs="Arial"/>
        </w:rPr>
        <w:t xml:space="preserve">o, o Presidente da Câmara proclamará imediatamente o resultado e fará lavrar ata que consigne a votação nominal de cada infração, e, se houver condenação, expedirá o competente decreto legislativo de suspensão temporária, ou de cassação do mandato de Vereador. Se o resultado da votação for absolutório, o Presidente determinará o arquivamento do processo</w:t>
      </w:r>
      <w:r>
        <w:rPr>
          <w:rFonts w:ascii="Arial" w:hAnsi="Arial" w:eastAsia="Arial" w:cs="Arial"/>
        </w:rPr>
        <w:t xml:space="preserve">. </w:t>
      </w:r>
      <w:r>
        <w:rPr>
          <w:rFonts w:ascii="Arial" w:hAnsi="Arial" w:eastAsia="Arial" w:cs="Arial"/>
        </w:rPr>
        <w:t xml:space="preserve">Em qualquer dos casos, o Presidente da Câmara comunicará a Justiça Eleitoral o resultado;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VII </w:t>
      </w:r>
      <w:r>
        <w:rPr>
          <w:rFonts w:ascii="Arial" w:hAnsi="Arial" w:eastAsia="Arial" w:cs="Arial"/>
        </w:rPr>
        <w:t xml:space="preserve">– </w:t>
      </w:r>
      <w:r>
        <w:rPr>
          <w:rFonts w:ascii="Arial" w:hAnsi="Arial" w:eastAsia="Arial" w:cs="Arial"/>
        </w:rPr>
        <w:t xml:space="preserve">o processo, a que se refere este artigo, deverá estar concluído dentro de noventa dias, contado da data que </w:t>
      </w:r>
      <w:r>
        <w:rPr>
          <w:rFonts w:ascii="Arial" w:hAnsi="Arial" w:eastAsia="Arial" w:cs="Arial"/>
        </w:rPr>
        <w:t xml:space="preserve">s</w:t>
      </w:r>
      <w:r>
        <w:rPr>
          <w:rFonts w:ascii="Arial" w:hAnsi="Arial" w:eastAsia="Arial" w:cs="Arial"/>
        </w:rPr>
        <w:t xml:space="preserve">e efetivar a notificação do acusado. Transcorrido o prazo sem o julgamento, o processo será arq</w:t>
      </w:r>
      <w:r>
        <w:rPr>
          <w:rFonts w:ascii="Arial" w:hAnsi="Arial" w:eastAsia="Arial" w:cs="Arial"/>
        </w:rPr>
        <w:t xml:space="preserve">uiv</w:t>
      </w:r>
      <w:r>
        <w:rPr>
          <w:rFonts w:ascii="Arial" w:hAnsi="Arial" w:eastAsia="Arial" w:cs="Arial"/>
        </w:rPr>
        <w:t xml:space="preserve">ado</w:t>
      </w:r>
      <w:r>
        <w:rPr>
          <w:rFonts w:ascii="Arial" w:hAnsi="Arial" w:eastAsia="Arial" w:cs="Arial"/>
        </w:rPr>
        <w:t xml:space="preserve">, </w:t>
      </w:r>
      <w:r>
        <w:rPr>
          <w:rFonts w:ascii="Arial" w:hAnsi="Arial" w:eastAsia="Arial" w:cs="Arial"/>
        </w:rPr>
        <w:t xml:space="preserve">sem prejuízo de nova denúncia ainda que sobre os mesmos fatos.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Capítulo VI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Disposições Gerais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20.</w:t>
      </w:r>
      <w:r>
        <w:rPr>
          <w:rFonts w:ascii="Arial" w:hAnsi="Arial" w:eastAsia="Arial" w:cs="Arial"/>
        </w:rPr>
        <w:t xml:space="preserve"> As apurações de fatos e de responsabilidades previstas neste Código poderão, quando a sua natureza assim o exigir, ser solicitadas ao Ministério Público ou às autoridades policiais, por intermédio da Mesa da Câmara, caso em que serão feitas as necessárias adaptações nos procedimentos e prazos previstos nesta Resolução.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21.</w:t>
      </w:r>
      <w:r>
        <w:rPr>
          <w:rFonts w:ascii="Arial" w:hAnsi="Arial" w:eastAsia="Arial" w:cs="Arial"/>
        </w:rPr>
        <w:t xml:space="preserve"> O processo disciplinar regulamentado neste Código não será interrompido pela renúncia do Vereador ao seu mandato, nem serão pela mesma, elididas as sanções eventualmente aplicáveis e seus efeitos.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22.</w:t>
      </w:r>
      <w:r>
        <w:rPr>
          <w:rFonts w:ascii="Arial" w:hAnsi="Arial" w:eastAsia="Arial" w:cs="Arial"/>
        </w:rPr>
        <w:t xml:space="preserve"> Esta Resolução entrará em vigor na data de sua publicação.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23.</w:t>
      </w:r>
      <w:r>
        <w:rPr>
          <w:rFonts w:ascii="Arial" w:hAnsi="Arial" w:eastAsia="Arial" w:cs="Arial"/>
        </w:rPr>
        <w:t xml:space="preserve"> Revogam-se as disposições em contrário. 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Plenário “Dr. Octávio Viscardi”, 16 de abril de 2001.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Antonio Carlos de Camargo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Presidente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Sigmar Rizzatto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1º Secretário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Publicado e registrado na Secretaria Administrativa da Câmara Municipal de Votuporanga, aos 16 de abril de 2001.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Dr. Jerônimo Figueira da Costa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 Geral em Exercício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https://www.camaravotuporanga.sp.gov.br/legislacao/8617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25/06/2026 00:10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2026-06-25T00:10:13-03:00</dcterms:created>
  <dcterms:modified xsi:type="dcterms:W3CDTF">2026-06-25T00:10:13-03:00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