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2/2000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2000 · Data 28/08/2000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ALTERA O ARTIGO 109, DA RESOLUÇÃO Nº 03, DE 01 DE ABRIL DE 1991.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28 DE AGOSTO DE 2000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(ALTERA O ARTIGO 109, DA RESOLUÇÃO Nº 03, DE 01 DE ABRIL DE 1991.)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05/00, que se refere ao processo nº 175 de 2000,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VOTUPORANGA, APROVOU E EU NOS TERMOS DO INCISO IV DO ARTIGO 18 DA LEI ORGÂNICA DO MUNICÍPIO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No artigo 109, da Resolução nº 03, de 1º de abril de 1991, fica acrescentado o seguinte parágrafo: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“Art. 109.</w:t>
      </w:r>
      <w:r>
        <w:rPr>
          <w:rFonts w:ascii="Arial" w:hAnsi="Arial" w:eastAsia="Arial" w:cs="Arial"/>
        </w:rPr>
        <w:t xml:space="preserve"> Fica obrigatório, a execução dos Hinos Nacional Brasileiro e de Votuporanga, respectivamente, no início e término das sessões ordinárias.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28 de agosto de 2000.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Mário José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28 de agosto de 2000.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https://www.camaravotuporanga.sp.gov.br/legislacao/8612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02:58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2026-08-21T02:58:26-03:00</dcterms:created>
  <dcterms:modified xsi:type="dcterms:W3CDTF">2026-08-21T02:58:26-03:00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