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1/1999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1999 · Data 17/02/1999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DENOMINAÇÃO DE SETOR DE IMPRENSA (CLAUDIA LIEVANA CAMARGO).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17 DE FEVEREIRO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DENOMINAÇÃO DE SETOR DE IMPRENSA (CLAUDIA LIEVANA CAMARGO).)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01/99, que se refere ao processo nº 009 de 1999,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VOTUPORANGA, APROVOU E EU NOS TERMOS DO INCISO IV DO ARTIGO 18 DA LEI ORGÂNICA DO MUNICÍPIO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denominado de </w:t>
      </w:r>
      <w:r>
        <w:rPr>
          <w:rFonts w:ascii="Arial" w:hAnsi="Arial" w:eastAsia="Arial" w:cs="Arial"/>
          <w:b w:val="1"/>
          <w:bCs w:val="1"/>
        </w:rPr>
        <w:t xml:space="preserve">CLÁUDIA LIEVANA CAMARGO</w:t>
      </w:r>
      <w:r>
        <w:rPr>
          <w:rFonts w:ascii="Arial" w:hAnsi="Arial" w:eastAsia="Arial" w:cs="Arial"/>
        </w:rPr>
        <w:t xml:space="preserve">, o Setor de Imprensa da Câmara Municipal.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17 de fevereiro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Mário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17 de fevereiro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https://www.camaravotuporanga.sp.gov.br/legislacao/8603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27/08/2026 10:45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2026-08-27T10:45:42-03:00</dcterms:created>
  <dcterms:modified xsi:type="dcterms:W3CDTF">2026-08-27T10:45:42-03:00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