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04/08/1997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DÁ NOVA REDAÇÃO AO INCISO III DO ARTIGO 112, DA RESOLUÇÃO Nº 03 DE 01º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4 DE AGOSTO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(DÁ NOVA REDAÇÃO AO INCISO III DO ARTIGO 112, DA RESOLUÇÃO Nº 03 DE 01º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6/97, que se refere ao processo nº 97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O </w:t>
      </w:r>
      <w:r>
        <w:rPr>
          <w:rFonts w:ascii="Arial" w:hAnsi="Arial" w:eastAsia="Arial" w:cs="Arial"/>
        </w:rPr>
        <w:t xml:space="preserve">inciso III do </w:t>
      </w:r>
      <w:r>
        <w:rPr>
          <w:rFonts w:ascii="Arial" w:hAnsi="Arial" w:eastAsia="Arial" w:cs="Arial"/>
        </w:rPr>
        <w:t xml:space="preserve">Artigo 112 da Resolução nº 03, de 01 de abril de 1991, passa a vigorar com a seguinte redação</w:t>
      </w:r>
      <w:r>
        <w:rPr>
          <w:rFonts w:ascii="Arial" w:hAnsi="Arial" w:eastAsia="Arial" w:cs="Arial"/>
        </w:rPr>
        <w:t xml:space="preserve">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112.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uso da palavra pelos Vereadores segundo a ordem de inscrição em livro, efetuada durante o Expediente, versando sobre tema livre.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04 de agosto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agosto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2026-08-18T10:49:34-03:00</dcterms:created>
  <dcterms:modified xsi:type="dcterms:W3CDTF">2026-08-18T10:49:34-03:00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