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14/04/1997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03, DE 01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14 DE ABRIL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03, DE 01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03/97, que se refere ao processo nº 045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Os Artigos abaixo relacionados da Resolução nº 03, de 1º de abril de 1991 – Regimento Interno, passam a vigorar da seguinte forma</w:t>
      </w:r>
      <w:r>
        <w:rPr>
          <w:rFonts w:ascii="Arial" w:hAnsi="Arial" w:eastAsia="Arial" w:cs="Arial"/>
        </w:rPr>
        <w:t xml:space="preserve">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 Art. 111.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</w:t>
      </w:r>
      <w:r>
        <w:rPr>
          <w:rFonts w:ascii="Arial" w:hAnsi="Arial" w:eastAsia="Arial" w:cs="Arial"/>
        </w:rPr>
        <w:t xml:space="preserve"> As proposições referidas nas alíneas “e” e “f” do parágrafo 1º deste artigo, terão a leitura feita somente das suas ementas.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127.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As proposições deverão ser redigidas em termos claros e sintéticos e, quando sujeitas à leitura, exceto as emendas, subemendas deverão conter ementa de seu assunto.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14 de abril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abril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2026-08-20T00:45:20-03:00</dcterms:created>
  <dcterms:modified xsi:type="dcterms:W3CDTF">2026-08-20T00:45:20-03:00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