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2/1997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1997 · Data 24/03/1997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 §3º DO ARTIGO 127, DA RESOLUÇÃO Nº 03, DE 01 DE ABRIL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24 DE MARÇO DE 1997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 §3º DO ARTIGO 127, DA RESOLUÇÃO Nº 03, DE 01 DE ABRIL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 IV DA LEI ORGÂNICA DO MUNICÍPIO, SANCIONO E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O parágrafo 3º do artigo 127 da Resolução nº 3 de 1º de abril de 1991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 xml:space="preserve">passa a vigorar com a seguinte redação</w:t>
      </w:r>
      <w:r>
        <w:rPr>
          <w:rFonts w:ascii="Arial" w:hAnsi="Arial" w:eastAsia="Arial" w:cs="Arial"/>
        </w:rPr>
        <w:t xml:space="preserve">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127. </w:t>
      </w:r>
      <w:r>
        <w:rPr>
          <w:rFonts w:ascii="Arial" w:hAnsi="Arial" w:eastAsia="Arial" w:cs="Arial"/>
        </w:rPr>
        <w:t xml:space="preserve">.....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.....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.....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3º </w:t>
      </w:r>
      <w:r>
        <w:rPr>
          <w:rFonts w:ascii="Arial" w:hAnsi="Arial" w:eastAsia="Arial" w:cs="Arial"/>
        </w:rPr>
        <w:t xml:space="preserve">As proposições a que se referem as alíneas “a”, “b”, “c” e “d”, do parágrafo 1º deste artigo, deverão ser obrigatoriamente lidas durante o Expediente, as cópias deverão ser distribuídas aos Vereadores, para só então serem incluídas na Ordem do Dia.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24 de março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Giácomo Vitório Longo Roveri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24 de março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https://www.camaravotuporanga.sp.gov.br/legislacao/8590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20:12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2026-08-20T20:12:21-03:00</dcterms:created>
  <dcterms:modified xsi:type="dcterms:W3CDTF">2026-08-20T20:12:21-03:00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