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15/04/1996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INSTITUI A TRIBUNA LIVRE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15 DE ABRIL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(INSTITUI A TRIBUNA LIVRE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alterações o projeto de resolução nº 02/96, que se refere ao processo nº 025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instituída na Câmara Municipal a Tribuna Livre, que consiste na participação de eleitores do Município, no uso da tribuna deste Legislativo, para explanações sobre assuntos de interesse da comunidade.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Os postulantes à participação na Tribuna Livre poderão inscrever-se na Secretaria Administrativa da Câmara, devendo preencher os seguintes requisitos: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ser eleitor no Município há mais de 5 (cinco) anos;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ser eleitor no Município há mais de dois anos;</w:t>
      </w:r>
      <w:hyperlink r:id="rId8" w:history="1">
        <w:r>
          <w:rPr/>
          <w:t xml:space="preserve">(Redação dada pela Resolução nº 5/06, de 26.06.2006)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ser eleitor no Município há mais de um ano;</w:t>
      </w:r>
      <w:hyperlink r:id="rId9" w:history="1">
        <w:r>
          <w:rPr/>
          <w:t xml:space="preserve">(Redação dada pela Resolução nº 1/20, de 23.03.2020)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preencher ficha de inscrição em impresso próprio e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</w:rPr>
        <w:t xml:space="preserve">fornecido pela Câmara Municipal;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c) declarar o assunto ou temas a serem abordados na tribuna;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d) obedecer a ordem de inscrição, que será feita em livro próprio;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e) ter deferida a sua inscrição pela Presidência da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e) ter deferida a sua inscrição pela Presidência da Câmara Municipal e pelos Líderes dos partidos, que deverá ser despachada no prazo de sete dias úteis, contados a partir do primeiro dia seguinte ao protocolo do requerimento</w:t>
      </w:r>
      <w:r>
        <w:rPr>
          <w:rFonts w:ascii="Arial" w:hAnsi="Arial" w:eastAsia="Arial" w:cs="Arial"/>
          <w:i w:val="1"/>
          <w:iCs w:val="1"/>
        </w:rPr>
        <w:t xml:space="preserve">.</w:t>
      </w:r>
      <w:hyperlink r:id="rId9" w:history="1">
        <w:r>
          <w:rPr/>
          <w:t xml:space="preserve">(Redação dada pela Resolução nº 1/20, de 23.03.2020)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Presidência da Câmara e os Líderes dos partidos representados no Legislativo poderão vetar a participação de cidadão na Tribuna Livre, devendo apresentar motivo relevante para tal, decidindo-se o veto pela maioria de votos dos membros do Colégio de Líderes presentes, em reunião especialmente convocada para esse fim.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 Presidência da Câmara e os Líderes dos partidos somente vetarão a participação de cidadão na Tribuna Livre quando os temas a serem abordados não atenderem ao relevante interesse público, devendo fundamentar essa decisão no prazo previsto na alínea “e” deste artigo.</w:t>
      </w:r>
      <w:hyperlink r:id="rId9" w:history="1">
        <w:r>
          <w:rPr/>
          <w:t xml:space="preserve">(Redação dada pela Resolução nº 1/20, de 23.03.2020)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O veto previsto no § 1º deste artigo será decidido pela maioria de votos dos membros presentes, considerando o voto da Presidência da Câmara e do Colégio de líderes, podendo o Requerente, neste caso, interpor recurso ao Plenário que poderá manter ou reformar a decisão pelo voto da maioria absoluta dos membros da Câmara.</w:t>
      </w:r>
      <w:hyperlink r:id="rId9" w:history="1">
        <w:r>
          <w:rPr/>
          <w:t xml:space="preserve">(Redação dada pela Resolução nº 1/20, de 23.03.2020)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O Presidente da Câmara, na organização da pauta da Sessão Ordinária, destinará quinze minutos do tempo destinado ao Expediente, ao pronunciamento do postulante à Tribuna Livre, uma vez por mês, fazendo constar na resenha a presença do postulante e o assunto a ser pronunciado.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O Presidente da Câmara, na organização da pauta da Sessão Ordinária, destinará quinze minutos ao pronunciamento do postulante à Tribuna Livre, uma vez por mês, fazendo constar na resenha a presença do postulante e o assunto a ser pronunciado.</w:t>
      </w:r>
      <w:hyperlink r:id="rId10" w:history="1">
        <w:r>
          <w:rPr/>
          <w:t xml:space="preserve">(Redação dada pela Resolução nº 1/10, de 08.02.2010)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O Presidente da Câmara, na organização da pauta da Sessão Ordinária, destinará doze minutos do tempo destinado ao Expediente, que deverá ser após a Palavra Livre dada aos Senhores Vereadores, ao pronunciamento do postulante à Tribuna Livre, uma vez por mês, fazendo constar na resenha a presença do postulante e o assunto a ser pronunciado.</w:t>
      </w:r>
      <w:hyperlink r:id="rId9" w:history="1">
        <w:r>
          <w:rPr/>
          <w:t xml:space="preserve">(Redação dada pela Resolução nº 1/20, de 23.03.2020)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 orador não será aparteado em seu pronunciamento salvo se faltar com o decoro e o respeito, caso em que a Presidência cassará sua palavra em definitivo.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O postulante à Tribuna Livre somente poderá inscrever-se novamente, após decorridos três meses de seu pronunciamento anterior.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O uso da Tribuna Livre, ficará suspenso por 90 (noventa) dias antes e 90 (noventa) dias após a realização de quaisquer eleição majoritária ou proporcional.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Esta Resolução entrará em vigor na data de sua publicação, gerando seus efeitos à partir de 1º de janeiro de 1997,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15 de abril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15 de abril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https://www.camaravotuporanga.sp.gov.br/legislacao/8581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6/junho/506.php" TargetMode="External"/><Relationship Id="rId9" Type="http://schemas.openxmlformats.org/officeDocument/2006/relationships/hyperlink" Target="http://www.leinasnuvens.com.br/legislacao/SP/votuporanga/resolucao/2020/mar%C3%A7o/120.php" TargetMode="External"/><Relationship Id="rId10" Type="http://schemas.openxmlformats.org/officeDocument/2006/relationships/hyperlink" Target="http://www.leinasnuvens.com.br/legislacao/SP/votuporanga/resolucao/2010/fevereiro/110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2026-08-18T17:44:34-03:00</dcterms:created>
  <dcterms:modified xsi:type="dcterms:W3CDTF">2026-08-18T17:44:34-03:00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