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3/1996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1996 · Data 08/04/1996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INCLUSÃO DE § NO ARTIGO 122, DA RESOLUÇÃO 03, DE 01 DE ABRIL DE 1991. (EXECUÇÃO DO HINO DE VOTUPORANGA NAS SESSÕES SOLENES)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3, DE 8 DE ABRIL DE 1996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INCLUSÃO DE § NO ARTIGO 122, DA RESOLUÇÃO 03, DE 01 DE ABRIL DE 1991. (EXECUÇÃO DO HINO DE VOTUPORANGA NAS SESSÕES SOLENES)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alterações o projeto de resolução nº 03/96, que se refere ao processo nº 033 de 1996,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 IV DA LEI ORGÂNICA DO MUNICÍPIO, SANCIONO E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No Artigo 122 da Resolução 03 de 01 de abril de 1991, fica incluído o seguinte parágrafo: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“Art. 122.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 </w:t>
      </w:r>
      <w:r>
        <w:rPr>
          <w:rFonts w:ascii="Arial" w:hAnsi="Arial" w:eastAsia="Arial" w:cs="Arial"/>
        </w:rPr>
        <w:t xml:space="preserve">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4º</w:t>
      </w:r>
      <w:r>
        <w:rPr>
          <w:rFonts w:ascii="Arial" w:hAnsi="Arial" w:eastAsia="Arial" w:cs="Arial"/>
        </w:rPr>
        <w:t xml:space="preserve"> .....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5º</w:t>
      </w:r>
      <w:r>
        <w:rPr>
          <w:rFonts w:ascii="Arial" w:hAnsi="Arial" w:eastAsia="Arial" w:cs="Arial"/>
        </w:rPr>
        <w:t xml:space="preserve"> No inciso das Sessões Solenes, será obrigatório a execução do Hino de Votuporanga.</w:t>
      </w:r>
      <w:r>
        <w:rPr>
          <w:rFonts w:ascii="Arial" w:hAnsi="Arial" w:eastAsia="Arial" w:cs="Arial"/>
          <w:b w:val="1"/>
          <w:bCs w:val="1"/>
        </w:rPr>
        <w:t xml:space="preserve">”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08 de abril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Vanderley Martins Fernandes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Everton Kleber Teixeira Nunes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08 de abril de 1996.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Geral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https://www.camaravotuporanga.sp.gov.br/legislacao/8580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10:09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2026-08-19T10:09:59-03:00</dcterms:created>
  <dcterms:modified xsi:type="dcterms:W3CDTF">2026-08-19T10:09:59-03:00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