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06/11/1995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DOS ARTIGOS 110 E 165, II DA RESOLUÇÃO Nº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6 DE NOVEMBRO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DOS ARTIGOS 110 E 165, II DA RESOLUÇÃO Nº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09/95, que se refere ao processo nº 142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dispositivos abaixo enumerados da Resolução nº 03 de 1º de abril de 1991, passam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110.</w:t>
      </w:r>
      <w:r>
        <w:rPr>
          <w:rFonts w:ascii="Arial" w:hAnsi="Arial" w:eastAsia="Arial" w:cs="Arial"/>
        </w:rPr>
        <w:t xml:space="preserve"> O Expediente terá a duração improrrogável de duas horas e trinta minutos, a partir da hora fixada para o início da sessão, e se destina a aprovação da ata da sessão anterior, a leitura resumida de materiais oriundas do Poder Executivo e de outras origens, à apresentação de proposições pelos Vereadores e o uso da palavra na forma deste Regimento.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165.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quinze minutos para falar da tribuna, durante o Expediente em tema livre.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27 de novembro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novembro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09/95, de autoria do vereador Paulo Ferraz do Amaral.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2026-08-20T03:17:52-03:00</dcterms:created>
  <dcterms:modified xsi:type="dcterms:W3CDTF">2026-08-20T03:17:52-03:00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