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05/09/1994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INCLUSÃO DE PARÁGRAFO NO ARTIGO 113,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5 DE SETEMBRO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INCLUSÃO DE PARÁGRAFO NO ARTIGO 113,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10/94, que se refere ao processo nº 109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incluído no Artigo 113 de Resolução 03/91 o seguinte parágrafo: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3º</w:t>
      </w:r>
      <w:r>
        <w:rPr>
          <w:rFonts w:ascii="Arial" w:hAnsi="Arial" w:eastAsia="Arial" w:cs="Arial"/>
        </w:rPr>
        <w:t xml:space="preserve"> Deverá ser afixada na Câmara Municipal, no mínimo, até dois dias úteis, materiais que poderão ser apreciadas na Ordem do Dia, em Sessão Ordinária, salvo se solicitado por requerimento de 2/3 (dois terços) dos membros da Câmara.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07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2026-08-18T08:20:31-03:00</dcterms:created>
  <dcterms:modified xsi:type="dcterms:W3CDTF">2026-08-18T08:20:31-03:00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