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9/1992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1992 · Data 10/12/1992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ALTERAÇÕES AO REGIMENTO INTERNO DA CÂMARA MUNICIPAL.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9, DE 10 DE DEZEMBRO DE 1992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ALTERAÇÕES AO REGIMENTO INTERNO DA CÂMARA MUNICIPAL.)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com outra redação o projeto de resolução nº 09/92, que se refere ao processo nº 156 de 1992,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ARTIGO 18, IV, DA LEI ORGÂNICA DO MUNICÍPIO,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Os Artigos e incisos e parágrafos do Regimento Interno da Câmara Municipal, abaixo relacionados ficam alterados na seguinte forma: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a) suprimir do § 3º</w:t>
      </w:r>
      <w:r>
        <w:rPr>
          <w:rFonts w:ascii="Arial" w:hAnsi="Arial" w:eastAsia="Arial" w:cs="Arial"/>
          <w:i w:val="1"/>
          <w:iCs w:val="1"/>
        </w:rPr>
        <w:t xml:space="preserve">, </w:t>
      </w:r>
      <w:r>
        <w:rPr>
          <w:rFonts w:ascii="Arial" w:hAnsi="Arial" w:eastAsia="Arial" w:cs="Arial"/>
        </w:rPr>
        <w:t xml:space="preserve">do Artigo 3º</w:t>
      </w:r>
      <w:r>
        <w:rPr>
          <w:rFonts w:ascii="Arial" w:hAnsi="Arial" w:eastAsia="Arial" w:cs="Arial"/>
          <w:i w:val="1"/>
          <w:iCs w:val="1"/>
        </w:rPr>
        <w:t xml:space="preserve">, </w:t>
      </w:r>
      <w:r>
        <w:rPr>
          <w:rFonts w:ascii="Arial" w:hAnsi="Arial" w:eastAsia="Arial" w:cs="Arial"/>
        </w:rPr>
        <w:t xml:space="preserve">a palavra “pública”;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b) no Artigo 9º</w:t>
      </w:r>
      <w:r>
        <w:rPr>
          <w:rFonts w:ascii="Arial" w:hAnsi="Arial" w:eastAsia="Arial" w:cs="Arial"/>
          <w:i w:val="1"/>
          <w:iCs w:val="1"/>
        </w:rPr>
        <w:t xml:space="preserve">, </w:t>
      </w:r>
      <w:r>
        <w:rPr>
          <w:rFonts w:ascii="Arial" w:hAnsi="Arial" w:eastAsia="Arial" w:cs="Arial"/>
        </w:rPr>
        <w:t xml:space="preserve">onde se lê o “mais idoso”, leia-se: “o mais votado no último pleito municipal”;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c) no inciso IV do Artigo 19, acrescente-se no seu final o seguinte: “bem como, projetos de resolução e de decretos legislativos”;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d) o Parágrafo único do Artigo 82 passa a ter a seguinte redação: Parágrafo único. A numeração de Atos da Mesa e da Presidência, bem como das Portarias e Decretos, obedecerá ao período do ano legislativo;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e) o Artigo 99 passa a ter a seguinte redação, mantendo seus parágrafos: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“Art. 99.</w:t>
      </w:r>
      <w:r>
        <w:rPr>
          <w:rFonts w:ascii="Arial" w:hAnsi="Arial" w:eastAsia="Arial" w:cs="Arial"/>
        </w:rPr>
        <w:t xml:space="preserve"> É facultado aos Líderes, durante o Expediente, por uma vez, fazer uso da palavra, com inscrição em livro próprio, para defesa de respectiva linha política-partidária, após o encerramento dos oradores inscritos para o Uso da Palavra.</w:t>
      </w:r>
      <w:r>
        <w:rPr>
          <w:rFonts w:ascii="Arial" w:hAnsi="Arial" w:eastAsia="Arial" w:cs="Arial"/>
          <w:b w:val="1"/>
          <w:bCs w:val="1"/>
        </w:rPr>
        <w:t xml:space="preserve">”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f) no Artigo 105 o Parágrafo único passa a ser § 1º e acrescente-se os seguintes parágrafos: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“§ 2º</w:t>
      </w:r>
      <w:r>
        <w:rPr>
          <w:rFonts w:ascii="Arial" w:hAnsi="Arial" w:eastAsia="Arial" w:cs="Arial"/>
        </w:rPr>
        <w:t xml:space="preserve"> As sessões extraordinárias serão convocadas pelo Presidente da Câmara, em sessão ou fora dela, mediante neste último caso, comunicação escrita aos Vereadores com antecedência mínima de vinte e quatro horas.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§ 3º</w:t>
      </w:r>
      <w:r>
        <w:rPr>
          <w:rFonts w:ascii="Arial" w:hAnsi="Arial" w:eastAsia="Arial" w:cs="Arial"/>
        </w:rPr>
        <w:t xml:space="preserve"> A</w:t>
      </w:r>
      <w:r>
        <w:rPr>
          <w:rFonts w:ascii="Arial" w:hAnsi="Arial" w:eastAsia="Arial" w:cs="Arial"/>
          <w:b w:val="1"/>
          <w:bCs w:val="1"/>
        </w:rPr>
        <w:t xml:space="preserve"> </w:t>
      </w:r>
      <w:r>
        <w:rPr>
          <w:rFonts w:ascii="Arial" w:hAnsi="Arial" w:eastAsia="Arial" w:cs="Arial"/>
        </w:rPr>
        <w:t xml:space="preserve">convocação extraordinária da Câmara Municipal, durante o período de recesso, far-se-á: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a) pelo Prefeito, em caso de urgência, ou interesse público;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b) por dois terços dos membros da Câmara Municipal.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§ 4º </w:t>
      </w:r>
      <w:r>
        <w:rPr>
          <w:rFonts w:ascii="Arial" w:hAnsi="Arial" w:eastAsia="Arial" w:cs="Arial"/>
        </w:rPr>
        <w:t xml:space="preserve">Na Sessão extraordinária, a Câmara Municipal, deliberará somente sobre matéria para a qual foi convocada.</w:t>
      </w:r>
      <w:r>
        <w:rPr>
          <w:rFonts w:ascii="Arial" w:hAnsi="Arial" w:eastAsia="Arial" w:cs="Arial"/>
          <w:b w:val="1"/>
          <w:bCs w:val="1"/>
        </w:rPr>
        <w:t xml:space="preserve">”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Esta Resolução entrará em vigor na data de sua publicação.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“Dr. Octávio Viscardi”, aos 14 de dezembro de 1992.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Arnaldo José Santa Fé Trindade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Vanderley Martins Fernandes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14 de dezembro de 1992.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https://www.camaravotuporanga.sp.gov.br/legislacao/8549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19/08/2026 23:19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2026-08-19T23:19:20-03:00</dcterms:created>
  <dcterms:modified xsi:type="dcterms:W3CDTF">2026-08-19T23:19:20-03:00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