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2/1992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1992 · Data 13/04/1992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LICENÇA PARA TRATAMENTO DE SAÚDE AO SR. ANTONIO ALHARANE.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2, DE 13 DE ABRIL DE 1992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LICENÇA PARA TRATAMENTO DE SAÚDE AO SR. ANTONIO ALHARANE.)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02/92, que se refere ao processo nº 045 de 1992,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 IV, DA LEI ORGÂNICA DO MUNICÍPIO,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Vereador Sr. ANTONIO PALHARANE</w:t>
      </w:r>
      <w:r>
        <w:rPr>
          <w:rFonts w:ascii="Arial" w:hAnsi="Arial" w:eastAsia="Arial" w:cs="Arial"/>
          <w:b w:val="1"/>
          <w:bCs w:val="1"/>
        </w:rPr>
        <w:t xml:space="preserve">, </w:t>
      </w:r>
      <w:r>
        <w:rPr>
          <w:rFonts w:ascii="Arial" w:hAnsi="Arial" w:eastAsia="Arial" w:cs="Arial"/>
        </w:rPr>
        <w:t xml:space="preserve">licença para tratamento de saúde, no período de 15/04/ à 15/06/1992.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Esta Resolução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15 de abril de 1992.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Arnaldo José Santa Fé Trindade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Vanderley Martins Fernandes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15 de abril de 1992.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https://www.camaravotuporanga.sp.gov.br/legislacao/8542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25/08/2026 19:44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2026-08-25T19:44:16-03:00</dcterms:created>
  <dcterms:modified xsi:type="dcterms:W3CDTF">2026-08-25T19:44:16-03:00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