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8/1989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1989 · Data 13/09/1989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REMUNERAÇÃO DOS SRS. VEREADORES PARA A LEGISLATURA 1989-1992.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13 DE SETEMBRO DE 1989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REMUNERAÇÃO DOS SRS. VEREADORES PARA A LEGISLATURA 1989-1992.)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07/89, que se refere ao processo nº 408 de 1989,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mensal, dos srs. vereadores para a legislatura 11989/1992, fica fixada em 600 (seiscentos) BTNs.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remuneração, compreendendo o subsídio (parte fixa, parte variável e sessões extraordinárias) será obtida através de Ato da Mesa, dentro do percentual fixado no artigo 1º,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 </w:t>
      </w:r>
      <w:r>
        <w:rPr>
          <w:rFonts w:ascii="Arial" w:hAnsi="Arial" w:eastAsia="Arial" w:cs="Arial"/>
        </w:rPr>
        <w:t xml:space="preserve">A parte variável do subsídio será dividido pelo comparecimento do vereador às sessões ordinárias e à participação nas votações.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valor de cada sessão ordinária será obtido dividindo-se o total da parte variável pelo número das que foram programadas durante o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As sessões extraordinárias serão remuneradas até, no máximo, de quatro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As despesas decorrentes com a execução desta Resolução, correrão por conta de recursos orçamentários próprios,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julho de 1989.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Revogam-se as disposições em contrário, especialmente a Resolução nº 04/89, de 07 de julho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06 de novembro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06 de novembro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https://www.camaravotuporanga.sp.gov.br/legislacao/8519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12:18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2026-08-24T12:18:10-03:00</dcterms:created>
  <dcterms:modified xsi:type="dcterms:W3CDTF">2026-08-24T12:18:10-03:00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