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3/1987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1987 · Data 08/06/1987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ORGANIZAÇÃO ADMINISTRATIVA DA CÂMARA MUNICIPAL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8 DE JUNHO DE 1987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ORGANIZAÇÃO ADMINISTRATIVA DA CÂMARA MUNICIPAL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02/87, que se refere ao processo nº 467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aperfeiçoamento e a racionalização de métodos e sistemas de trabalho será sempre a preocupação da Secretaria Administrativa da Câmara Municipal, com o objetivo de proporcionar um melhor atendimento aos srs. vereadores e, ao público.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 Câmara Municipal recorrerá, para o cumprimento de suas atividades, sempre que admissível e aconselhável, mediante contrato, permissão, convênio ou solicitação, a pessoas ou entidades no setor privado ou público, de formo a alcançar um melhor rendimento, ficando configurado que será evitado novos encargos permanentes e ampliação desnecessária do Quadro de Servidores.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 Secretaria Administrativa, além dos controles formais concernentes à obediência a preceitos regulamentares, deverá dispor de instrumentos de acompanhamento e avaliação de resultados da atuação dos seus órgãos e agentes.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A Câmara Municipal procurará elevar a produtividade dos seus servidores, evitando o crescimento do seu Quadro de Pessoal, através do treinamento e aperfeiçoamento doo servidores existentes, a fim de possibilitar o estabelecimento de níveis adequados de remuneração e ascensão sistemática a funções superiores.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Na elaboração e execução de suas atividades administrativas a Edilidade estabelecerá o critério de prioridades, segundo a essencialidade do serviço e atendimento do interesse coletivo.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A Estrutura Administrativa da Câmara Municipal compõe-se dos seguintes órgãos: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Setor de Gabinete do Presidente;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Diretoria da Secretaria Administrativa;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Setor de Supervisor Legislativo para Assuntos Administrativos;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– Setor Legislativo;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– Setor de Comissões;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 – Setor de Finanças;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 – Setor de Contabilidade;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VIII – Setor de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Tesouraria;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IX – Setor de Materiais e Bens Patrimoniais;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X – Setor de Zeladoria;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 XI – Setor de Assessoria-Técnica da Mesa;</w:t>
      </w:r>
      <w:hyperlink r:id="rId8" w:history="1">
        <w:r>
          <w:rPr/>
          <w:t xml:space="preserve">(Inserido pela Resolução nº 2/89, de 15.05.1989)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 XII – Setor de Assessoria Parlamentar.</w:t>
      </w:r>
      <w:hyperlink r:id="rId8" w:history="1">
        <w:r>
          <w:rPr/>
          <w:t xml:space="preserve">(Inserido pela Resolução nº 2/89, de 15.05.1989)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</w:t>
      </w:r>
      <w:r>
        <w:rPr>
          <w:rFonts w:ascii="Arial" w:hAnsi="Arial" w:eastAsia="Arial" w:cs="Arial"/>
        </w:rPr>
        <w:t xml:space="preserve"> O Setor de Gabinete do Presidente é o órgão incumbido de assistir o Presidente da Edilidade nas suas funções políticas, cabendo-lhe especialmente o assessoramento para os contatos com os demais Poderes e autoridades, atendimento de munícipes, assim como de relações públicas, incluindo as de representação e divulgação.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8º</w:t>
      </w:r>
      <w:r>
        <w:rPr>
          <w:rFonts w:ascii="Arial" w:hAnsi="Arial" w:eastAsia="Arial" w:cs="Arial"/>
        </w:rPr>
        <w:t xml:space="preserve"> A Diretoria da Secretaria Administrativa é o órgão encarregado exercer as atividades ligadas a administração geral da Edilidade.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9º</w:t>
      </w:r>
      <w:r>
        <w:rPr>
          <w:rFonts w:ascii="Arial" w:hAnsi="Arial" w:eastAsia="Arial" w:cs="Arial"/>
        </w:rPr>
        <w:t xml:space="preserve"> O Setor de Supervisor Legislativo para Assuntos Administrativo é o órgão incumbido de supervisionar o andamento das atividades da Secretaria Administrativa e dar assessoramento ao Plenário, podendo seu titular assinar documentos na ausência ou impedimento do Diretor da Secretaria.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10.</w:t>
      </w:r>
      <w:r>
        <w:rPr>
          <w:rFonts w:ascii="Arial" w:hAnsi="Arial" w:eastAsia="Arial" w:cs="Arial"/>
        </w:rPr>
        <w:t xml:space="preserve"> O Setor Legislativo é o órgão incumbido da execução dos serviços relacionados com as atividades Legislativa da Câmara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11.</w:t>
      </w:r>
      <w:r>
        <w:rPr>
          <w:rFonts w:ascii="Arial" w:hAnsi="Arial" w:eastAsia="Arial" w:cs="Arial"/>
        </w:rPr>
        <w:t xml:space="preserve"> O Setor de Comissões é o órgão encarregado das atividades das Comissões Permanentes e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Temporárias do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12.</w:t>
      </w:r>
      <w:r>
        <w:rPr>
          <w:rFonts w:ascii="Arial" w:hAnsi="Arial" w:eastAsia="Arial" w:cs="Arial"/>
        </w:rPr>
        <w:t xml:space="preserve"> O Setor da Finanças é o órgão encarregado do assessoramento do Presidente nos assuntos financeiros e da execução das atividades de despesa, de tomada de contas e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patrimônio, bem assim da elaboração, supervisão e controle da execução das atividades de despesa, da tomada de contas e patrimônio, bem assim da elaboração, supervisão e controle da execução orçamentária da Edilidade.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13.</w:t>
      </w:r>
      <w:r>
        <w:rPr>
          <w:rFonts w:ascii="Arial" w:hAnsi="Arial" w:eastAsia="Arial" w:cs="Arial"/>
        </w:rPr>
        <w:t xml:space="preserve"> O Setor de Contabilidade é o órgão incumbido de fazer a escrituração contábil da Câmara Municipal, devendo expedir até o dia 20 de cada mês o balancete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de receita e despesa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do movimento financeiro e orçamentário, elaborar anualmente no período compreendido entre julho e agosto, o orçamento anual das atividades do Poder Legislativo, para a apreciação do Plenário e consequente encaminhamento ao Poder Executivo para incorporação ao Orçamento Geral do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14.</w:t>
      </w:r>
      <w:r>
        <w:rPr>
          <w:rFonts w:ascii="Arial" w:hAnsi="Arial" w:eastAsia="Arial" w:cs="Arial"/>
        </w:rPr>
        <w:t xml:space="preserve"> Setor de Tesouraria é o órgão encarregado de efetuar a execução das atividades de recebimentos e pagamento do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15.</w:t>
      </w:r>
      <w:r>
        <w:rPr>
          <w:rFonts w:ascii="Arial" w:hAnsi="Arial" w:eastAsia="Arial" w:cs="Arial"/>
        </w:rPr>
        <w:t xml:space="preserve"> O Setor Materiais e Bens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Patrimoniais é órgão encarregado de escriturar e controlar os materiais adquiridos e consumidos, por meio de livros, fichas e outros sistemas,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tendo a responsabilidade mediante os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registros específicos dos bens existentes e constantes do Patrimônio da Câmara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16.</w:t>
      </w:r>
      <w:r>
        <w:rPr>
          <w:rFonts w:ascii="Arial" w:hAnsi="Arial" w:eastAsia="Arial" w:cs="Arial"/>
        </w:rPr>
        <w:t xml:space="preserve"> O Setor de Zeladoria é o órgão incumbido de promover a abertura, o fechamento e a limpeza das dependências da Câmara Municipal, prestar informações ao público, gerir a cópia e outras que lhe sejam próprias.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16. A.</w:t>
      </w:r>
      <w:r>
        <w:rPr>
          <w:rFonts w:ascii="Arial" w:hAnsi="Arial" w:eastAsia="Arial" w:cs="Arial"/>
        </w:rPr>
        <w:t xml:space="preserve"> O Setor de Assessoria-Técnica da Mesa é o órgão encarregado de assessorar a Mesa da Câmara na organização, coordenação e execução de suas atividades.</w:t>
      </w:r>
      <w:hyperlink r:id="rId8" w:history="1">
        <w:r>
          <w:rPr/>
          <w:t xml:space="preserve">(Inserido pela Resolução nº 2/89, de 15.05.1989)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16. B.</w:t>
      </w:r>
      <w:r>
        <w:rPr>
          <w:rFonts w:ascii="Arial" w:hAnsi="Arial" w:eastAsia="Arial" w:cs="Arial"/>
        </w:rPr>
        <w:t xml:space="preserve"> O Setor de Assessoria Parlamentar é o órgão encarregado de assessorar os Vereadores na organização, coordenação e execução de suas atividades.</w:t>
      </w:r>
      <w:hyperlink r:id="rId8" w:history="1">
        <w:r>
          <w:rPr/>
          <w:t xml:space="preserve">(Inserido pela Resolução nº 2/89, de 15.05.1989)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17.</w:t>
      </w:r>
      <w:r>
        <w:rPr>
          <w:rFonts w:ascii="Arial" w:hAnsi="Arial" w:eastAsia="Arial" w:cs="Arial"/>
        </w:rPr>
        <w:t xml:space="preserve"> As despesas decorrentes com a execução desta resolução correrão por conta das dotações próprias consignadas em orçamento.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18.</w:t>
      </w:r>
      <w:r>
        <w:rPr>
          <w:rFonts w:ascii="Arial" w:hAnsi="Arial" w:eastAsia="Arial" w:cs="Arial"/>
        </w:rPr>
        <w:t xml:space="preserve"> Esta resolução entrará em vigor na data de sua publicação, revogando especialmente as </w:t>
      </w:r>
      <w:hyperlink r:id="rId9" w:history="1">
        <w:r>
          <w:rPr/>
          <w:t xml:space="preserve">resoluções nºs 06/85, de 13 de maio de 1985</w:t>
        </w:r>
      </w:hyperlink>
      <w:r>
        <w:rPr>
          <w:rFonts w:ascii="Arial" w:hAnsi="Arial" w:eastAsia="Arial" w:cs="Arial"/>
        </w:rPr>
        <w:t xml:space="preserve">, e </w:t>
      </w:r>
      <w:hyperlink r:id="rId10" w:history="1">
        <w:r>
          <w:rPr/>
          <w:t xml:space="preserve">04/86, de 20 de agosto de 1986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08 de junho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08 de junho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https://www.camaravotuporanga.sp.gov.br/legislacao/8505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07:10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89/maio/289.php" TargetMode="External"/><Relationship Id="rId9" Type="http://schemas.openxmlformats.org/officeDocument/2006/relationships/hyperlink" Target="http://www.leinasnuvens.com.br/legislacao/SP/votuporanga/resolucao/1985/maio/685.php" TargetMode="External"/><Relationship Id="rId10" Type="http://schemas.openxmlformats.org/officeDocument/2006/relationships/hyperlink" Target="http://www.leinasnuvens.com.br/legislacao/SP/votuporanga/resolucao/1986/agosto/486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2026-08-24T07:10:25-03:00</dcterms:created>
  <dcterms:modified xsi:type="dcterms:W3CDTF">2026-08-24T07:10:25-03:00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