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13/05/1985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ORGANZAÇÃO ADMINISTRATIVA DA CÂMARA MUNICIPAL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13 DE MAIO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ORGANZAÇÃO ADMINISTRATIVA DA CÂMARA MUNICIPAL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07/85, que se refere ao processo nº 381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aperfeiçoamento e a racionalização de métodos e sistemas de trabalho será sempre a preocupação da Secretaria Administrativa da Câmara Municipal, com o objetivo de proporcionar um melhor atendimento aos srs. vereadores e ao público.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Câmara Municipal recorrerá, para o cumprimento de suas atividades, sempre que admissível e aconselhável, mediante contrato, permissão, convênio ou solicitação, a pessoas ou entidades do setor privado ou público, de forma a alcançar um melhor rendimento, evitando novos encargos permanentes e ampliação desnecessária do Quadro de servidores.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 Secretaria Administrativa, além dos controles formais concernentes à obediência a preceitos regulamentares, deverá dispor de instrumentos de acompanhamento e avaliação de resultados da atuação dos seus órgãos e agentes.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A Câmara Municipal procurará elevar a produtividade dos seus servidores, evitando o crescimento do seu Quadro de Pessoal, através da seleção rigorosa de novos servidores e do treinamento e aperfeiçoamento dos servidores existentes, a fim de possibilitar o estabelecimento de níveis adequados de remuneração e ascensão sistemática a funções superiores.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Na elaboração e execução de suas atividades administrativas a Edilidade estabelecerá o critério de prioridades, segundo a essencialidade do serviço e atendimento do interesse coletivo.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 </w:t>
      </w:r>
      <w:r>
        <w:rPr>
          <w:rFonts w:ascii="Arial" w:hAnsi="Arial" w:eastAsia="Arial" w:cs="Arial"/>
        </w:rPr>
        <w:t xml:space="preserve">A Estrutura administrativa da Câmara Municipal compõe-se dos seguintes órgãos: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Gabinete do Presidente;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Diretoria da Secretaria Administrativa;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Setor Legislativo;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Setor de Comissões;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– Setor de Finanças; e,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 – Setor de Zeladoria;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– Setor de Tesouraria.</w:t>
      </w:r>
      <w:hyperlink r:id="rId8" w:history="1">
        <w:r>
          <w:rPr/>
          <w:t xml:space="preserve">(Inserido pela Resolução nº 4/86, de 20.08.1986)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 </w:t>
      </w:r>
      <w:r>
        <w:rPr>
          <w:rFonts w:ascii="Arial" w:hAnsi="Arial" w:eastAsia="Arial" w:cs="Arial"/>
        </w:rPr>
        <w:t xml:space="preserve">O Gabinete do Presidente é o órgão incumbido de assistir o Presidente da Edilidade nas suas funções políticas, cabendo-lhe especialmente o assessoramento para os contatos com os demais Poderes e autoridades, atendimento de munícipes, assim como relações públicas, incluindo as de representação e divulgação.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 </w:t>
      </w:r>
      <w:r>
        <w:rPr>
          <w:rFonts w:ascii="Arial" w:hAnsi="Arial" w:eastAsia="Arial" w:cs="Arial"/>
        </w:rPr>
        <w:t xml:space="preserve">A Diretoria da Secretaria Administrativa é o órgão encarregado de exercer as atividades ligadas a administração geral da Edilidade.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9º</w:t>
      </w:r>
      <w:r>
        <w:rPr>
          <w:rFonts w:ascii="Arial" w:hAnsi="Arial" w:eastAsia="Arial" w:cs="Arial"/>
        </w:rPr>
        <w:t xml:space="preserve"> O Setor Legislativo é o órgão incumbido da execução dos serviços relacionados com as atividades legislativas da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10. </w:t>
      </w:r>
      <w:r>
        <w:rPr>
          <w:rFonts w:ascii="Arial" w:hAnsi="Arial" w:eastAsia="Arial" w:cs="Arial"/>
        </w:rPr>
        <w:t xml:space="preserve">O Setor de Comissões é o órgão encarregado das atividades das Comissões Permanentes e Temporárias do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11. </w:t>
      </w:r>
      <w:r>
        <w:rPr>
          <w:rFonts w:ascii="Arial" w:hAnsi="Arial" w:eastAsia="Arial" w:cs="Arial"/>
        </w:rPr>
        <w:t xml:space="preserve"> O Setor de finanças é o órgão encarregado do assessoramento do Presidente nos assuntos financeiros e da execução das atividades de despesa, de tesouraria, de tomada de contas e patrimônio, bem assim da elaboração, supervisão e controle da execução orçamentária da Edilidade.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12. </w:t>
      </w:r>
      <w:r>
        <w:rPr>
          <w:rFonts w:ascii="Arial" w:hAnsi="Arial" w:eastAsia="Arial" w:cs="Arial"/>
        </w:rPr>
        <w:t xml:space="preserve">O Setor de Zeladoria é o órgão incumbido de promover a abertura, o fechamento e a limpeza das dependências da Câmara Municipal, prestar informações ao público, gerir a copa e outras que lhe sejam próprias.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13. </w:t>
      </w:r>
      <w:r>
        <w:rPr>
          <w:rFonts w:ascii="Arial" w:hAnsi="Arial" w:eastAsia="Arial" w:cs="Arial"/>
        </w:rPr>
        <w:t xml:space="preserve">O Presidente da Edilidade deverá regulamentar a presente resolução no prazo de 60 (sessenta) dias, baixando através de Decreto, o regulamento interno da Secretaria Administrativa, que discriminará as atribuições e a competência dos órgãos mencionadas nesta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14. </w:t>
      </w:r>
      <w:r>
        <w:rPr>
          <w:rFonts w:ascii="Arial" w:hAnsi="Arial" w:eastAsia="Arial" w:cs="Arial"/>
        </w:rPr>
        <w:t xml:space="preserve">Ao regulamentar a presente resolução, o Sr. Presidente da Câmara Municipal, deverá observar as normas da Lei Orgânica dos Municípios.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15. </w:t>
      </w:r>
      <w:r>
        <w:rPr>
          <w:rFonts w:ascii="Arial" w:hAnsi="Arial" w:eastAsia="Arial" w:cs="Arial"/>
        </w:rPr>
        <w:t xml:space="preserve">As despesas decorrentes com a execução desta resolução correrão por conta das dotações próprias consignadas em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16.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13 de maio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13 de maio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https://www.camaravotuporanga.sp.gov.br/legislacao/8495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86/agosto/486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2026-08-24T03:02:04-03:00</dcterms:created>
  <dcterms:modified xsi:type="dcterms:W3CDTF">2026-08-24T03:02:04-03:00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