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6/1980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1980 · Data 16/06/1980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DO §3º, DO ARTIGO 114, DO REGIMENTO INTERNO.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6, DE 16 DE JUNHO DE 1980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DO §3º, DO ARTIGO 114, DO REGIMENTO INTERNO.)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7/80, que se refere ao processo nº 181 de 1980,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 parágrafo 3º, do artigo 114, do Regimento Interno, passa a vigorar com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“§ 3º </w:t>
      </w:r>
      <w:r>
        <w:rPr>
          <w:rFonts w:ascii="Arial" w:hAnsi="Arial" w:eastAsia="Arial" w:cs="Arial"/>
        </w:rPr>
        <w:t xml:space="preserve">Fica permitida a cessão parcial, de 5 (cinco) minutos, ou total, de 10 (dez) minutos, para o orador que ocupar a tribuna completar seu raciocínio, por outro vereador inscrito, na sequência.</w:t>
      </w:r>
      <w:r>
        <w:rPr>
          <w:rFonts w:ascii="Arial" w:hAnsi="Arial" w:eastAsia="Arial" w:cs="Arial"/>
          <w:b w:val="1"/>
          <w:b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 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ala das Sessões, “Dr. Octávio Viscardi”, aos 16 de junho de 1980.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Octaviano Nogueira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16 de junho de 1980.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https://www.camaravotuporanga.sp.gov.br/legislacao/8456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18:35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2026-08-18T18:35:32-03:00</dcterms:created>
  <dcterms:modified xsi:type="dcterms:W3CDTF">2026-08-18T18:35:32-03:00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