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8/1979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1979 · Data 07/05/1979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REGULAMENTAÇÃO DA CONCESSÃO DE TÍTULOS E DEMAIS HONRARIAS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7 DE MAIO DE 1979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REGULAMENTAÇÃO DA CONCESSÃO DE TÍTULOS E DEMAIS HONRARIAS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8/79, que se refere ao processo nº 230 de 1979,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instituído, neste município, o título de “Cidadão Votuporanguense”, e as insígnias de “Honra ao Mérito” e de “Serviço Público Relevante”.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instituído, neste Município, o título de “Cidadão Votuporanguense”, e as insígnias de “Honra ao Mérito”, “Serviço Público Relevante”, e “Honra ao Mérito – O Educador”.</w:t>
      </w:r>
      <w:hyperlink r:id="rId8" w:history="1">
        <w:r>
          <w:rPr/>
          <w:t xml:space="preserve">(Redação dada pela Resolução nº 8/82, de 18.10.1982)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 </w:t>
      </w:r>
      <w:r>
        <w:rPr>
          <w:rFonts w:ascii="Arial" w:hAnsi="Arial" w:eastAsia="Arial" w:cs="Arial"/>
        </w:rPr>
        <w:t xml:space="preserve">O título de “Cidadão Votuporanguense”, somente será outorgado às pessoas que residam, comprovadamente, fora deste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A insígnia de “Honra ao Mérito”, poderá ser dada aos que prestarem serviços de alta magnitude ao município, e residam ou não, neste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3º </w:t>
      </w:r>
      <w:r>
        <w:rPr>
          <w:rFonts w:ascii="Arial" w:hAnsi="Arial" w:eastAsia="Arial" w:cs="Arial"/>
        </w:rPr>
        <w:t xml:space="preserve">A insígnia de “Serviço Público Relevante”, será concedida a todos aqueles que, no exercício de qualquer função pública ou particular, fizerem jus a mesma, e residam neste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4º</w:t>
      </w:r>
      <w:r>
        <w:rPr>
          <w:rFonts w:ascii="Arial" w:hAnsi="Arial" w:eastAsia="Arial" w:cs="Arial"/>
        </w:rPr>
        <w:t xml:space="preserve"> A insígnia de “Honra ao Mérito – O Educador”, será concedida a professor ou pessoa residente no Município, e que tenha prestado serviços relevantes na área do Magistério.</w:t>
      </w:r>
      <w:hyperlink r:id="rId8" w:history="1">
        <w:r>
          <w:rPr/>
          <w:t xml:space="preserve">(Inserido pela Resolução nº 8/82, de 18.10.1982)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O título de “Cidadão Votuporanguense”, constará de um pergaminho contendo, sucintamente, o Decreto Legislativo que o aprovou, e uma medalha de ouro suspensa numa fita verde-amarela.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Ambos terão gravado o brasão de armas do município e mais as máximas apropriadas.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A insígnia de “Honra ao Mérito”, constará de uma medalha de ouro, com a máxima adequada de um lado e do outro o brasão de armas do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As insígnias de “Honra ao Mérito” e “Honra ao Mérito – O Educador”, constarão de uma medalha de ouro, com a máxima adequada de um lado e de outro o brasão de armas do Município</w:t>
      </w:r>
      <w:r>
        <w:rPr>
          <w:rFonts w:ascii="Arial" w:hAnsi="Arial" w:eastAsia="Arial" w:cs="Arial"/>
          <w:i w:val="1"/>
          <w:iCs w:val="1"/>
        </w:rPr>
        <w:t xml:space="preserve">.</w:t>
      </w:r>
      <w:hyperlink r:id="rId8" w:history="1">
        <w:r>
          <w:rPr/>
          <w:t xml:space="preserve">(Redação dada pela Resolução nº 8/82, de 18.10.1982)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A insígnia de “Serviço Público Relevante”, constará de uma medalha de prata, com as mesmas características do artigo anterior.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As proposituras que determinarem as outorgas das honrarias criadas por esta resolução, trarão nas suas justificativas ou o “curriculum vitae” ou o relato pormenorizado do ato ou feito que amparem os pedidos.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A iniciativa das proposições constantes deste artigo, só poderá ser utilizada duas vezes pelos mesmos vereadores, em cada sessão legislativa.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A iniciativa das proposições constantes deste artigo, só poderá ser utilizada quatro vezes pelos mesmos vereadores, em cada sessão legislativa.</w:t>
      </w:r>
      <w:hyperlink r:id="rId9" w:history="1">
        <w:r>
          <w:rPr/>
          <w:t xml:space="preserve">(Redação dada pela Resolução nº 7/85, de 10.06.1985)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Somente será recebida pela Mesa a proposição que contar com a assinatura da maioria absoluta dos srs. vereadores.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</w:t>
      </w:r>
      <w:r>
        <w:rPr>
          <w:rFonts w:ascii="Arial" w:hAnsi="Arial" w:eastAsia="Arial" w:cs="Arial"/>
        </w:rPr>
        <w:t xml:space="preserve"> Recebida a propositura, nos termos regimentais e desta resolução, a Mesa designará Comissão Especial composta de 3 (três) vereadores, com representação partidária obrigatória, para oferecer parecer no prazo máximo de 10 (dez) dias.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 </w:t>
      </w:r>
      <w:r>
        <w:rPr>
          <w:rFonts w:ascii="Arial" w:hAnsi="Arial" w:eastAsia="Arial" w:cs="Arial"/>
        </w:rPr>
        <w:t xml:space="preserve">Após a aprovação da concessão de qualquer honraria, a Presidência comunicará o fato ao homenageado, que terá o prazo de 6 (seis) meses, improrrogáveis, para se manifestar quanto ao recebimento.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O homenageado não se manifestando no prazo estipulado, ficará, automaticamente, revogada a concessão da honraria.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8º</w:t>
      </w:r>
      <w:r>
        <w:rPr>
          <w:rFonts w:ascii="Arial" w:hAnsi="Arial" w:eastAsia="Arial" w:cs="Arial"/>
        </w:rPr>
        <w:t xml:space="preserve"> As normas contidas na </w:t>
      </w:r>
      <w:hyperlink r:id="rId10" w:history="1">
        <w:r>
          <w:rPr/>
          <w:t xml:space="preserve">resolução nº 12/65, de 27/12/65</w:t>
        </w:r>
      </w:hyperlink>
      <w:r>
        <w:rPr>
          <w:rFonts w:ascii="Arial" w:hAnsi="Arial" w:eastAsia="Arial" w:cs="Arial"/>
        </w:rPr>
        <w:t xml:space="preserve">, poderão subsidiar, ao que couber, às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9º</w:t>
      </w:r>
      <w:r>
        <w:rPr>
          <w:rFonts w:ascii="Arial" w:hAnsi="Arial" w:eastAsia="Arial" w:cs="Arial"/>
        </w:rPr>
        <w:t xml:space="preserve"> As honrarias já aprovadas e cientificadas, conforme determinações existentes anteriormente e vigência desta resolução, com a decorrência do prazo determinado de 6 (seis) meses, consideram-se revogadas.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10.</w:t>
      </w:r>
      <w:r>
        <w:rPr>
          <w:rFonts w:ascii="Arial" w:hAnsi="Arial" w:eastAsia="Arial" w:cs="Arial"/>
        </w:rPr>
        <w:t xml:space="preserve"> A entrega das referidas honrarias será feita em sessão solene, convocada pela Presidência, ou atendendo a requerimento assinado por 1/3 (um terço) dos srs. vereadores, observando os trâmites regimentais.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11. </w:t>
      </w:r>
      <w:r>
        <w:rPr>
          <w:rFonts w:ascii="Arial" w:hAnsi="Arial" w:eastAsia="Arial" w:cs="Arial"/>
        </w:rPr>
        <w:t xml:space="preserve">As despesas decorrentes com a execução desta resolução, correrão à conta de verbas próprias do orçamento.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12.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contrário, especialmente as resoluções </w:t>
      </w:r>
      <w:hyperlink r:id="rId11" w:history="1">
        <w:r>
          <w:rPr/>
          <w:t xml:space="preserve">nºs 9/68</w:t>
        </w:r>
      </w:hyperlink>
      <w:r>
        <w:rPr>
          <w:rFonts w:ascii="Arial" w:hAnsi="Arial" w:eastAsia="Arial" w:cs="Arial"/>
        </w:rPr>
        <w:t xml:space="preserve">, 5/76, </w:t>
      </w:r>
      <w:hyperlink r:id="rId12" w:history="1">
        <w:r>
          <w:rPr/>
          <w:t xml:space="preserve">1/77</w:t>
        </w:r>
      </w:hyperlink>
      <w:r>
        <w:rPr>
          <w:rFonts w:ascii="Arial" w:hAnsi="Arial" w:eastAsia="Arial" w:cs="Arial"/>
        </w:rPr>
        <w:t xml:space="preserve">, e </w:t>
      </w:r>
      <w:hyperlink r:id="rId13" w:history="1">
        <w:r>
          <w:rPr/>
          <w:t xml:space="preserve">3/78</w:t>
        </w:r>
      </w:hyperlink>
      <w:r>
        <w:rPr>
          <w:rFonts w:ascii="Arial" w:hAnsi="Arial" w:eastAsia="Arial" w:cs="Arial"/>
        </w:rPr>
        <w:t xml:space="preserve">, de 22/04/68, 10/05/76, 27/06/77 e 13/02/78, respectivamente.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07 de maio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07 de maio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https://www.camaravotuporanga.sp.gov.br/legislacao/8448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82/outubro/882.php" TargetMode="External"/><Relationship Id="rId9" Type="http://schemas.openxmlformats.org/officeDocument/2006/relationships/hyperlink" Target="http://www.leinasnuvens.com.br/legislacao/SP/votuporanga/resolucao/1985/junho/785.php" TargetMode="External"/><Relationship Id="rId10" Type="http://schemas.openxmlformats.org/officeDocument/2006/relationships/hyperlink" Target="http://www.leinasnuvens.com.br/legislacao/SP/votuporanga/resolucao/1965/dezembro/1265.php" TargetMode="External"/><Relationship Id="rId11" Type="http://schemas.openxmlformats.org/officeDocument/2006/relationships/hyperlink" Target="https://pesquisadeleis.com.br/sp/votuporanga/legislacao/38187/lei-ordinaria-968-dispoe-sobre-suplementacao-de-verba-orcamentaria" TargetMode="External"/><Relationship Id="rId12" Type="http://schemas.openxmlformats.org/officeDocument/2006/relationships/hyperlink" Target="http://www.leinasnuvens.com.br/legislacao/SP/votuporanga/resolucao/1977/junho/177.php" TargetMode="External"/><Relationship Id="rId13" Type="http://schemas.openxmlformats.org/officeDocument/2006/relationships/hyperlink" Target="http://www.leinasnuvens.com.br/legislacao/SP/votuporanga/resolucao/1978/fevereiro/378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2026-08-23T16:16:26-03:00</dcterms:created>
  <dcterms:modified xsi:type="dcterms:W3CDTF">2026-08-23T16:16:26-03:00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