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8/1973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1973 · Data 08/10/1973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§2º, DO ARTIGO 109, DA RESOLUÇÃO Nº 4/59, DE 11/05/1959 - REGIMENTO INTERNO.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8 DE OUTUBRO DE 1973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§2º, DO ARTIGO 109, DA RESOLUÇÃO Nº 4/59, DE 11/05/1959 - REGIMENTO INTERNO.)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4/73, que se refere ao processo nº 510 de 1973,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parágrafo 2º do art. 109, da Resolução nº 4/59, de 11 de maio de 1959,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“§ 2º</w:t>
      </w:r>
      <w:r>
        <w:rPr>
          <w:rFonts w:ascii="Arial" w:hAnsi="Arial" w:eastAsia="Arial" w:cs="Arial"/>
        </w:rPr>
        <w:t xml:space="preserve"> Os discursos, debates e apartes pronunciados pelos vereadores, na Ordem do Dia, serão transcritos, na íntegra, no livro de “Registro de Debates”.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os pronunciamentos dos vereadores feitos no Expediente ou em Explicação Pessoal, serão registrados, resumidamente, apenas no livro de Atas.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o resumo de que trata a alínea “a”, deste parágrafo, será retirado da gravação, em fita, da íntegra do pronunciamento, ficando esta, pelo prazo de quinze dias, à disposição dos vereadores, após o que será desgravada.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a partir de 8 de outubro de 1973, revogando-se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08 de outubro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08 de outubro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https://www.camaravotuporanga.sp.gov.br/legislacao/8390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2026-08-18T13:20:12-03:00</dcterms:created>
  <dcterms:modified xsi:type="dcterms:W3CDTF">2026-08-18T13:20:12-03:00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