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27/12/1965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INSTITUIÇÃO E CONCESSÃO DE INSÍGNAS HONORÍFICAS E DÁS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27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INSTITUIÇÃO E CONCESSÃO DE INSÍGNAS HONORÍFICAS E DÁS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7/65, que se refere ao processo nº 128 de 1963,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instituída no Município de Votuporanga a insígnia de “Honra ao mérito Legislativo”.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insígnia será representada por uma medalha de ouro, tendo no frontispício a miniatura do brasão do Município, encimada pela máxima “Honra ao mérito Legislativo” e, no outro lado, o histórico: “concedida ao vereador ..., em ... de ... de 19..., pelo exercício, consecutivo, de cinco mandatos eletivos, com méritos. Câmara Municipal de Votuporanga.”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 </w:t>
      </w:r>
      <w:r>
        <w:rPr>
          <w:rFonts w:ascii="Arial" w:hAnsi="Arial" w:eastAsia="Arial" w:cs="Arial"/>
        </w:rPr>
        <w:t xml:space="preserve">O tamanho miniatura será definitivamente fixado pela Mesa da Câmara, em ato a ser baixado no prazo de 15 dias, a contar da promulgação desta resolução, de modo a atender as disposições deste artigo e seus parágrafos.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medalha de “Honra ao mérito Legislativo” será automaticamente concedida ao vereador que exercer com mérito, cinco mandatos consecutivos ou ao membro do Poder Legislativo que venha a falecer em pleno exercício do cargo, sem prejuízo de outras homenagens que oficialmente serão prestadas.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concessão será declarada por ato da Mesa ou a requerimento subscrito por três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Declarada a outorga da insígnia, a Câmara marcará dia para a sua entrega solene e pública, lavrando-se termo próprio da concessão em livro especial que para esse fim será aberto e arquivado na Secretaria do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no livro especial de concessão de títulos ou insígnias honoríficas, registrar-se-ão, por ordem cronológica, todas as deliberações da Câmara, nesse sentido, respeitando-se a grafia clássica de atas e entregando-se cópia oficial ao beneficiado ou seu representante.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Para os membros do Poder Legislativo que tenham exercido ou venham a exercer três mandatos consecutivos ou que figurem no relatório anual das atividades legislativas até a terceira colocação, a Câmara Municipal entregará, com o registro gravado do objetivo, medalhas de prata e de bronze para os últimos.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Subscrita a declaração da concessão das insígnias instituídas nesta resolução, ela será irreversível, imutável e perene, passando a constituir direito líquido e certo.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As despesas decorrentes com a aplicação desta resolução correrão por conta das verbas do Poder Legislativo constantes do orçamento, suplementadas,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27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2026-08-18T11:48:46-03:00</dcterms:created>
  <dcterms:modified xsi:type="dcterms:W3CDTF">2026-08-18T11:48:46-03:00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