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03/04/1961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ALTERA OS ARTIGOS 99º E 114º, DA RESOLUÇÃO Nº 4/59, DE 11 DE MAIO DE 1959.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3 DE ABRIL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(ALTERA OS ARTIGOS 99º E 114º, DA RESOLUÇÃO Nº 4/59, DE 11 DE MAIO DE 1959.)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3/61, que se refere ao processo nº 69 de 1961,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Os artigos 99 e 114, da Resolução nº 4/59, de 11 de maio de 1959, passam a ter as seguintes redações: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99.</w:t>
      </w:r>
      <w:r>
        <w:rPr>
          <w:rFonts w:ascii="Arial" w:hAnsi="Arial" w:eastAsia="Arial" w:cs="Arial"/>
        </w:rPr>
        <w:t xml:space="preserve"> As sessões ordinárias terão início impreterivelmente, às vinte horas e duração de quatro horas.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114.</w:t>
      </w:r>
      <w:r>
        <w:rPr>
          <w:rFonts w:ascii="Arial" w:hAnsi="Arial" w:eastAsia="Arial" w:cs="Arial"/>
        </w:rPr>
        <w:t xml:space="preserve"> O expediente terá duração de duas horas, sendo trinta minutos iniciais destinado à leitura da ata e dos papéis do expediente e o restante do tempo destinado aos oradores inscritos para versar assuntos de sua livre escolha, cabendo a cada um vinte minutos no máximo, na sua vez.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03 de abril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03 de abril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https://www.camaravotuporanga.sp.gov.br/legislacao/8287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06:35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2026-08-22T06:35:29-03:00</dcterms:created>
  <dcterms:modified xsi:type="dcterms:W3CDTF">2026-08-22T06:35:29-03:00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