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4/1957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1957 · Data 01/04/1957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DISPÕE SOBRE A CONCESSÃO DE GRATIFICAÇÃO AOS SERVENTUÁRIOS DO PODER LEGISLATIVOS.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1 DE ABRIL DE 1957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(DISPÕE SOBRE A CONCESSÃO DE GRATIFICAÇÃO AOS SERVENTUÁRIOS DO PODER LEGISLATIVOS.)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11-c-57, que se refere ao processo nº 36/57, expedindo para tanto a resolução que se segue: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 </w:t>
      </w:r>
      <w:r>
        <w:rPr>
          <w:rFonts w:ascii="Arial" w:hAnsi="Arial" w:eastAsia="Arial" w:cs="Arial"/>
        </w:rPr>
        <w:t xml:space="preserve">Fica a Mesa da Câmara Municipal de Votuporanga autorizada a conceder gratificação aos funcionários do Poder Legislativo: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 – pela execução de trabalho de natureza especial;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 – pela prestação de serviço extraordinário;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III – a título de representação, quando em serviço ou estudo fora do município; em serviço ou estudo fora do município; e,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IV – pela colaboração ou execução de trabalho técnico.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A gratificação pela execução de trabalho de natureza especial, será arbitrada pelo Presidente do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3º 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gratificação pela prestação de serviço extraordinário será paga por hora de trabalho antecipado ou prorrogado, na mesma razão percebida pelo funcionário, em cada hora de período normal.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1º</w:t>
      </w:r>
      <w:r>
        <w:rPr>
          <w:rFonts w:ascii="Arial" w:hAnsi="Arial" w:eastAsia="Arial" w:cs="Arial"/>
        </w:rPr>
        <w:t xml:space="preserve"> Os funcionários da Câmara Municipal não perceberão remuneração ou gratificação por serviços extraordinários, prestados durante o período regimental das sessões ordinárias do Poder Legislativo.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2º</w:t>
      </w:r>
      <w:r>
        <w:rPr>
          <w:rFonts w:ascii="Arial" w:hAnsi="Arial" w:eastAsia="Arial" w:cs="Arial"/>
        </w:rPr>
        <w:t xml:space="preserve"> O período de serviços prestados extraordinariamente, será constatado pelo “livro de ponto”.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§ 3º </w:t>
      </w:r>
      <w:r>
        <w:rPr>
          <w:rFonts w:ascii="Arial" w:hAnsi="Arial" w:eastAsia="Arial" w:cs="Arial"/>
        </w:rPr>
        <w:t xml:space="preserve">No fim de cada mês o órgão competente, apresentará ao Presidente da Câmara a relação das horas extras de serviços prestados pelos serventuários do Poder Legislativo, depois do que, serão confeccionadas as folhas de pagamento.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4º 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  <w:b w:val="1"/>
          <w:bCs w:val="1"/>
        </w:rPr>
        <w:t xml:space="preserve"> </w:t>
      </w:r>
      <w:r>
        <w:rPr>
          <w:rFonts w:ascii="Arial" w:hAnsi="Arial" w:eastAsia="Arial" w:cs="Arial"/>
        </w:rPr>
        <w:t xml:space="preserve">designação para serviço ou estudo fora do Município, só poderá ser feita pelo Presidente da Câmara, que arbitrará a gratificação quando não estiver em lei ou regulamento.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5º </w:t>
      </w:r>
      <w:r>
        <w:rPr>
          <w:rFonts w:ascii="Arial" w:hAnsi="Arial" w:eastAsia="Arial" w:cs="Arial"/>
        </w:rPr>
        <w:t xml:space="preserve">A</w:t>
      </w:r>
      <w:r>
        <w:rPr>
          <w:rFonts w:ascii="Arial" w:hAnsi="Arial" w:eastAsia="Arial" w:cs="Arial"/>
          <w:i w:val="1"/>
          <w:iCs w:val="1"/>
        </w:rPr>
        <w:t xml:space="preserve"> </w:t>
      </w:r>
      <w:r>
        <w:rPr>
          <w:rFonts w:ascii="Arial" w:hAnsi="Arial" w:eastAsia="Arial" w:cs="Arial"/>
        </w:rPr>
        <w:t xml:space="preserve">gratificação pela elaboração ou execução de trabalho técnico, ou de utilidade para o serviço público, será arbitrada pelo Presidente da Câmara, após sua conclusão.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6º </w:t>
      </w:r>
      <w:r>
        <w:rPr>
          <w:rFonts w:ascii="Arial" w:hAnsi="Arial" w:eastAsia="Arial" w:cs="Arial"/>
        </w:rPr>
        <w:t xml:space="preserve">Gozarão das vantagens previstas na presente resolução, todo funcionário efetivo, nomeado e contratado, bem como o Diretor da Secretaria.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7º</w:t>
      </w:r>
      <w:r>
        <w:rPr>
          <w:rFonts w:ascii="Arial" w:hAnsi="Arial" w:eastAsia="Arial" w:cs="Arial"/>
        </w:rPr>
        <w:t xml:space="preserve"> As despesas com a execução da presente resolução, no corrente exercício, correrão por conta da verba 111.8.00.4 - Despesas Diversas - item XI - Outras despesas, suplementada, se necessário.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8º</w:t>
      </w:r>
      <w:r>
        <w:rPr>
          <w:rFonts w:ascii="Arial" w:hAnsi="Arial" w:eastAsia="Arial" w:cs="Arial"/>
        </w:rPr>
        <w:t xml:space="preserve"> Esta resolução entrará em vigor na data de sua publicação, retroagindo-se seus efeitos a 1º de agosto de 1956.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9º</w:t>
      </w:r>
      <w:r>
        <w:rPr>
          <w:rFonts w:ascii="Arial" w:hAnsi="Arial" w:eastAsia="Arial" w:cs="Arial"/>
        </w:rPr>
        <w:t xml:space="preserve"> Revogam-se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1º de abril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Herculano Beretta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Odácio Miguel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Publicado e registrado na Secretaria da Câmara Municipal de Votuporanga, ao 1º de abril de 1957.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Raphael Luiz Mayr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https://www.camaravotuporanga.sp.gov.br/legislacao/8255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20/08/2026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2026-08-20T15:42:52-03:00</dcterms:created>
  <dcterms:modified xsi:type="dcterms:W3CDTF">2026-08-20T15:42:52-03:00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