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24/08/1956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REGIMENTAL. (ALTERA O § 1º DO ART. 47º DO R.I. E REVOGA A RESOLUÇÃO Nº 1, DE 19/03/1953.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24 DE AGOSTO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REGIMENTAL. (ALTERA O § 1º DO ART. 47º DO R.I. E REVOGA A RESOLUÇÃO Nº 1, DE 19/03/1953.)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3/56, que se refere ao Processo nº 37/56,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parágrafo 1º do artigo 47 do Regimento Interno da Câmara Municipal de Votuporanga,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“§ 1º</w:t>
      </w:r>
      <w:r>
        <w:rPr>
          <w:rFonts w:ascii="Arial" w:hAnsi="Arial" w:eastAsia="Arial" w:cs="Arial"/>
          <w:i w:val="1"/>
          <w:iCs w:val="1"/>
        </w:rPr>
        <w:t xml:space="preserve"> As sessões ordinárias realizar-se-ão nas segundas-feiras de cada mês, com início às 19:30 horas. Quando o dia designado for feriado, no primeiro dia útil seguinte.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revogando-se a Resolução nº 1, de 19 de março de 1953.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24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Aristides Gallo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Dirceu de Carvalho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https://www.camaravotuporanga.sp.gov.br/legislacao/8238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11:44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2026-08-20T11:44:11-03:00</dcterms:created>
  <dcterms:modified xsi:type="dcterms:W3CDTF">2026-08-20T11:44:11-03:00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