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500" w:type="dxa"/>
        <w:gridCol w:w="4500" w:type="dxa"/>
      </w:tblGrid>
      <w:tblPr>
        <w:tblStyle w:val="InstMasthead"/>
      </w:tblPr>
      <w:tr>
        <w:trPr>
          <w:trHeight w:val="900" w:hRule="atLeast"/>
        </w:trPr>
        <w:tc>
          <w:tcPr>
            <w:tcW w:w="5500" w:type="dxa"/>
            <w:vAlign w:val="center"/>
            <w:shd w:val="clear" w:fill="FFFFFF"/>
            <w:noWrap/>
          </w:tcPr>
          <w:p>
            <w:pPr>
              <w:jc w:val="start"/>
            </w:pPr>
            <w:r>
              <w:pict>
                <v:shape type="#_x0000_t75" stroked="f" style="width:42pt; height:42pt; margin-left:0pt; margin-top:0pt; mso-position-horizontal:left; mso-position-vertical:top; mso-position-horizontal-relative:char; mso-position-vertical-relative:line;">
                  <w10:wrap type="inline"/>
                  <v:imagedata r:id="rId7" o:title=""/>
                </v:shape>
              </w:pict>
            </w:r>
          </w:p>
          <w:p>
            <w:pPr>
              <w:spacing w:before="80" w:after="0"/>
            </w:pPr>
            <w:r>
              <w:rPr>
                <w:rFonts w:ascii="Arial" w:hAnsi="Arial" w:eastAsia="Arial" w:cs="Arial"/>
                <w:color w:val="0F172A"/>
                <w:sz w:val="20"/>
                <w:szCs w:val="20"/>
              </w:rPr>
              <w:t xml:space="preserve">Câmara de</w:t>
            </w:r>
          </w:p>
          <w:p>
            <w:pPr>
              <w:spacing w:after="40"/>
            </w:pPr>
            <w:r>
              <w:rPr>
                <w:rFonts w:ascii="Arial" w:hAnsi="Arial" w:eastAsia="Arial" w:cs="Arial"/>
                <w:color w:val="0F172A"/>
                <w:sz w:val="20"/>
                <w:szCs w:val="20"/>
              </w:rPr>
              <w:t xml:space="preserve">Votuporanga</w:t>
            </w:r>
          </w:p>
          <w:p>
            <w:pPr>
              <w:spacing w:after="0"/>
            </w:pPr>
            <w:r>
              <w:rPr>
                <w:rFonts w:ascii="Arial" w:hAnsi="Arial" w:eastAsia="Arial" w:cs="Arial"/>
                <w:color w:val="64748B"/>
                <w:sz w:val="14"/>
                <w:szCs w:val="14"/>
              </w:rPr>
              <w:t xml:space="preserve">PODER LEGISLATIVO</w:t>
            </w:r>
          </w:p>
        </w:tc>
        <w:tc>
          <w:tcPr>
            <w:tcW w:w="4500" w:type="dxa"/>
            <w:vAlign w:val="center"/>
            <w:shd w:val="clear" w:fill="FFFFFF"/>
            <w:noWrap/>
          </w:tcPr>
          <w:p>
            <w:pPr>
              <w:jc w:val="end"/>
              <w:spacing w:after="20"/>
            </w:pPr>
            <w:r>
              <w:rPr>
                <w:rFonts w:ascii="Arial" w:hAnsi="Arial" w:eastAsia="Arial" w:cs="Arial"/>
                <w:color w:val="94A3B8"/>
                <w:sz w:val="12"/>
                <w:szCs w:val="12"/>
              </w:rPr>
              <w:t xml:space="preserve">ENDEREÇO</w:t>
            </w:r>
          </w:p>
          <w:p>
            <w:pPr>
              <w:jc w:val="end"/>
              <w:spacing w:after="40"/>
            </w:pPr>
            <w:r>
              <w:rPr>
                <w:rFonts w:ascii="Arial" w:hAnsi="Arial" w:eastAsia="Arial" w:cs="Arial"/>
                <w:color w:val="334155"/>
                <w:sz w:val="18"/>
                <w:szCs w:val="18"/>
              </w:rPr>
              <w:t xml:space="preserve">RUA VENEZUELA, 3819 - VILA AMÉRICA</w:t>
            </w:r>
          </w:p>
          <w:p>
            <w:pPr>
              <w:jc w:val="end"/>
              <w:spacing w:after="40"/>
            </w:pPr>
            <w:r>
              <w:rPr>
                <w:rFonts w:ascii="Arial" w:hAnsi="Arial" w:eastAsia="Arial" w:cs="Arial"/>
                <w:color w:val="334155"/>
                <w:sz w:val="18"/>
                <w:szCs w:val="18"/>
              </w:rPr>
              <w:t xml:space="preserve">VOTUPORANGA / SP - CEP: 15502-105</w:t>
            </w:r>
          </w:p>
          <w:p>
            <w:pPr>
              <w:jc w:val="end"/>
              <w:spacing w:after="20"/>
            </w:pPr>
            <w:r>
              <w:rPr>
                <w:rFonts w:ascii="Arial" w:hAnsi="Arial" w:eastAsia="Arial" w:cs="Arial"/>
                <w:color w:val="94A3B8"/>
                <w:sz w:val="12"/>
                <w:szCs w:val="12"/>
              </w:rPr>
              <w:t xml:space="preserve">TELEFONE</w:t>
            </w:r>
          </w:p>
          <w:p>
            <w:pPr>
              <w:jc w:val="end"/>
            </w:pPr>
            <w:r>
              <w:rPr>
                <w:rFonts w:ascii="Arial" w:hAnsi="Arial" w:eastAsia="Arial" w:cs="Arial"/>
                <w:color w:val="334155"/>
                <w:sz w:val="18"/>
                <w:szCs w:val="18"/>
              </w:rPr>
              <w:t xml:space="preserve">(17)3421-1188</w:t>
            </w:r>
          </w:p>
        </w:tc>
      </w:tr>
    </w:tbl>
    <w:tbl>
      <w:tblGrid>
        <w:gridCol w:w="10000" w:type="dxa"/>
      </w:tblGrid>
      <w:tblPr>
        <w:tblStyle w:val="InstAccent"/>
      </w:tblPr>
      <w:tr>
        <w:trPr>
          <w:trHeight w:val="60" w:hRule="atLeast"/>
        </w:trPr>
        <w:tc>
          <w:tcPr>
            <w:tcW w:w="10000" w:type="dxa"/>
            <w:shd w:val="clear" w:fill="E2E8F0"/>
            <w:noWrap/>
          </w:tcPr>
          <w:p/>
        </w:tc>
      </w:tr>
    </w:tbl>
    <w:p/>
    <w:p>
      <w:pPr>
        <w:pStyle w:val="InstKicker"/>
      </w:pPr>
      <w:r>
        <w:rPr>
          <w:rFonts w:ascii="Arial" w:hAnsi="Arial" w:eastAsia="Arial" w:cs="Arial"/>
          <w:color w:val="64748B"/>
          <w:sz w:val="16"/>
          <w:szCs w:val="16"/>
        </w:rPr>
        <w:t xml:space="preserve">LEGISLAÇÃO</w:t>
      </w:r>
    </w:p>
    <w:p>
      <w:pPr>
        <w:pStyle w:val="InstTitle"/>
      </w:pPr>
      <w:r>
        <w:rPr>
          <w:rFonts w:ascii="Arial" w:hAnsi="Arial" w:eastAsia="Arial" w:cs="Arial"/>
          <w:color w:val="0F172A"/>
          <w:sz w:val="32"/>
          <w:szCs w:val="32"/>
          <w:b w:val="1"/>
          <w:bCs w:val="1"/>
        </w:rPr>
        <w:t xml:space="preserve">RESOLUÇÃO Nº 34/1955</w:t>
      </w:r>
    </w:p>
    <w:p>
      <w:pPr>
        <w:pStyle w:val="InstBodyJustified"/>
      </w:pPr>
      <w:r>
        <w:rPr>
          <w:rFonts w:ascii="Arial" w:hAnsi="Arial" w:eastAsia="Arial" w:cs="Arial"/>
          <w:color w:val="64748B"/>
          <w:sz w:val="18"/>
          <w:szCs w:val="18"/>
        </w:rPr>
        <w:t xml:space="preserve">Ano 1955 · Data 23/11/1955 · Status EM VIGOR</w:t>
      </w:r>
    </w:p>
    <w:p>
      <w:pPr>
        <w:pStyle w:val="InstBodyJustified"/>
      </w:pPr>
      <w:r>
        <w:rPr>
          <w:rFonts w:ascii="Arial" w:hAnsi="Arial" w:eastAsia="Arial" w:cs="Arial"/>
          <w:color w:val="334155"/>
          <w:sz w:val="22"/>
          <w:szCs w:val="22"/>
        </w:rPr>
        <w:t xml:space="preserve">Ementa: DISPÕE SOBRE A INSTITUIÇÃO DO VENCIMENTO ADICIONAL AOS FUNCIONÁRIOS DA CÂMARA MUNICIPAL.</w:t>
      </w:r>
    </w:p>
    <w:p>
      <w:pPr>
        <w:pStyle w:val="InstBodyJustified"/>
      </w:pPr>
      <w:r>
        <w:rPr>
          <w:rFonts w:ascii="Arial" w:hAnsi="Arial" w:eastAsia="Arial" w:cs="Arial"/>
          <w:color w:val="334155"/>
          <w:sz w:val="22"/>
          <w:szCs w:val="22"/>
        </w:rPr>
        <w:t xml:space="preserve">RESOLUÇÃO Nº 34, DE 23 DE NOVEMBRO DE 1955</w:t>
      </w:r>
    </w:p>
    <w:p>
      <w:pPr>
        <w:pStyle w:val="InstBodyJustified"/>
      </w:pPr>
      <w:r>
        <w:rPr>
          <w:rFonts w:ascii="Arial" w:hAnsi="Arial" w:eastAsia="Arial" w:cs="Arial"/>
          <w:color w:val="334155"/>
          <w:sz w:val="22"/>
          <w:szCs w:val="22"/>
        </w:rPr>
        <w:t xml:space="preserve">(DISPÕE SOBRE A INSTITUIÇÃO DO VENCIMENTO ADICIONAL AOS FUNCIONÁRIOS DA CÂMARA MUNICIPAL.)</w:t>
      </w:r>
    </w:p>
    <w:p>
      <w:pPr>
        <w:jc w:val="both"/>
        <w:spacing w:line="360" w:lineRule="auto"/>
      </w:pPr>
      <w:r>
        <w:rPr>
          <w:rFonts w:ascii="Arial" w:hAnsi="Arial" w:eastAsia="Arial" w:cs="Arial"/>
          <w:b w:val="1"/>
          <w:bCs w:val="1"/>
        </w:rPr>
        <w:t xml:space="preserve">A Mesa da Câmara Municipal</w:t>
      </w:r>
      <w:r>
        <w:rPr>
          <w:rFonts w:ascii="Arial" w:hAnsi="Arial" w:eastAsia="Arial" w:cs="Arial"/>
        </w:rPr>
        <w:t xml:space="preserve"> de Votuporanga, faz publicar a seguinte resolução:</w:t>
      </w:r>
    </w:p>
    <w:p>
      <w:pPr>
        <w:jc w:val="both"/>
        <w:spacing w:line="360" w:lineRule="auto"/>
      </w:pPr>
      <w:r>
        <w:rPr>
          <w:rFonts w:ascii="Arial" w:hAnsi="Arial" w:eastAsia="Arial" w:cs="Arial"/>
        </w:rPr>
        <w:t xml:space="preserve">A CÂMARA MUNICIPAL DE VOTUPORANGA, RESOLVE:</w:t>
      </w:r>
    </w:p>
    <w:p>
      <w:pPr>
        <w:jc w:val="both"/>
        <w:spacing w:line="360" w:lineRule="auto"/>
      </w:pPr>
      <w:r>
        <w:rPr>
          <w:rFonts w:ascii="Arial" w:hAnsi="Arial" w:eastAsia="Arial" w:cs="Arial"/>
        </w:rPr>
        <w:t xml:space="preserve">APROVAR, com outra redação a resolução nº 2, que se refere ao processo nº 10/55, a saber:</w:t>
      </w:r>
    </w:p>
    <w:p>
      <w:pPr>
        <w:jc w:val="both"/>
        <w:spacing w:line="360" w:lineRule="auto"/>
      </w:pPr>
      <w:r>
        <w:rPr>
          <w:rFonts w:ascii="Arial" w:hAnsi="Arial" w:eastAsia="Arial" w:cs="Arial"/>
        </w:rPr>
        <w:t xml:space="preserve">A CÂMARA MUNICIPAL DE VOTUPORANGA, RESOLVE:</w:t>
      </w:r>
    </w:p>
    <w:p>
      <w:pPr>
        <w:jc w:val="both"/>
        <w:spacing w:line="360" w:lineRule="auto"/>
      </w:pPr>
      <w:r>
        <w:rPr>
          <w:rFonts w:ascii="Arial" w:hAnsi="Arial" w:eastAsia="Arial" w:cs="Arial"/>
          <w:b w:val="1"/>
          <w:bCs w:val="1"/>
        </w:rPr>
        <w:t xml:space="preserve">Art. 1º </w:t>
      </w:r>
      <w:r>
        <w:rPr>
          <w:rFonts w:ascii="Arial" w:hAnsi="Arial" w:eastAsia="Arial" w:cs="Arial"/>
        </w:rPr>
        <w:t xml:space="preserve">Fica criado o vencimento adicional, que será concedido a todos os funcionários da Câmara Municipal, em exercício de cargo criado por lei, que completarem cada período de cinco anos de serviço, a saber:</w:t>
      </w:r>
    </w:p>
    <w:p>
      <w:pPr>
        <w:jc w:val="both"/>
        <w:spacing w:line="360" w:lineRule="auto"/>
      </w:pPr>
      <w:r>
        <w:rPr>
          <w:rFonts w:ascii="Arial" w:hAnsi="Arial" w:eastAsia="Arial" w:cs="Arial"/>
        </w:rPr>
        <w:t xml:space="preserve">a) de 10% (dez por cento) para o primeiro período de cinco (5) anos;</w:t>
      </w:r>
    </w:p>
    <w:p>
      <w:pPr>
        <w:jc w:val="both"/>
        <w:spacing w:line="360" w:lineRule="auto"/>
      </w:pPr>
      <w:r>
        <w:rPr>
          <w:rFonts w:ascii="Arial" w:hAnsi="Arial" w:eastAsia="Arial" w:cs="Arial"/>
        </w:rPr>
        <w:t xml:space="preserve">b) de 5% (cinco por cento) para os períodos subsequentes de cinco (5) anos cada.</w:t>
      </w:r>
    </w:p>
    <w:p>
      <w:pPr>
        <w:jc w:val="both"/>
        <w:spacing w:line="360" w:lineRule="auto"/>
      </w:pPr>
      <w:r>
        <w:rPr>
          <w:rFonts w:ascii="Arial" w:hAnsi="Arial" w:eastAsia="Arial" w:cs="Arial"/>
          <w:b w:val="1"/>
          <w:bCs w:val="1"/>
        </w:rPr>
        <w:t xml:space="preserve">Art. 2º </w:t>
      </w:r>
      <w:r>
        <w:rPr>
          <w:rFonts w:ascii="Arial" w:hAnsi="Arial" w:eastAsia="Arial" w:cs="Arial"/>
        </w:rPr>
        <w:t xml:space="preserve">Os funcionários que até 31 de dezembro de 1954 tiverem períodos completos de serviço, terão o vencimento adicional contado da forma do artigo anterior.</w:t>
      </w:r>
    </w:p>
    <w:p>
      <w:pPr>
        <w:jc w:val="both"/>
        <w:spacing w:line="360" w:lineRule="auto"/>
      </w:pPr>
      <w:r>
        <w:rPr>
          <w:rFonts w:ascii="Arial" w:hAnsi="Arial" w:eastAsia="Arial" w:cs="Arial"/>
          <w:b w:val="1"/>
          <w:bCs w:val="1"/>
        </w:rPr>
        <w:t xml:space="preserve">Parágrafo único. </w:t>
      </w:r>
      <w:r>
        <w:rPr>
          <w:rFonts w:ascii="Arial" w:hAnsi="Arial" w:eastAsia="Arial" w:cs="Arial"/>
        </w:rPr>
        <w:t xml:space="preserve">Os funcionários que, a partir da data da vigência desta lei, forem completando períodos de cinco (5) anos de serviço ininterrupto, sem que tenham gozado licença, dado faltas injustificadas, nem sofrido penalidades previstas pelas disposições do </w:t>
      </w:r>
      <w:hyperlink r:id="rId8" w:history="1">
        <w:r>
          <w:rPr/>
          <w:t xml:space="preserve">Decreto-Lei nº 13.030, de 28 de outubro de 1942</w:t>
        </w:r>
      </w:hyperlink>
      <w:r>
        <w:rPr>
          <w:rFonts w:ascii="Arial" w:hAnsi="Arial" w:eastAsia="Arial" w:cs="Arial"/>
        </w:rPr>
        <w:t xml:space="preserve">, terão, como prêmio, o seu adicional contado em dobro, inclusive ao período inicial, que será sempre de 10% (dez por cento).</w:t>
      </w:r>
    </w:p>
    <w:p>
      <w:pPr>
        <w:jc w:val="both"/>
        <w:spacing w:line="360" w:lineRule="auto"/>
      </w:pPr>
      <w:r>
        <w:rPr>
          <w:rFonts w:ascii="Arial" w:hAnsi="Arial" w:eastAsia="Arial" w:cs="Arial"/>
          <w:b w:val="1"/>
          <w:bCs w:val="1"/>
        </w:rPr>
        <w:t xml:space="preserve">Art. 3º </w:t>
      </w:r>
      <w:r>
        <w:rPr>
          <w:rFonts w:ascii="Arial" w:hAnsi="Arial" w:eastAsia="Arial" w:cs="Arial"/>
        </w:rPr>
        <w:t xml:space="preserve">Os funcionários ao completarem cada período de cinco (5) anos de serviço, solicitarão ao sr. Presidente da Câmara, mediante requerimento instruído com certidão de tempo de serviço expedida pela Secretaria, o adicional a que tiverem direito.</w:t>
      </w:r>
    </w:p>
    <w:p>
      <w:pPr>
        <w:jc w:val="both"/>
        <w:spacing w:line="360" w:lineRule="auto"/>
      </w:pPr>
      <w:r>
        <w:rPr>
          <w:rFonts w:ascii="Arial" w:hAnsi="Arial" w:eastAsia="Arial" w:cs="Arial"/>
          <w:b w:val="1"/>
          <w:bCs w:val="1"/>
        </w:rPr>
        <w:t xml:space="preserve">Art. 4º </w:t>
      </w:r>
      <w:r>
        <w:rPr>
          <w:rFonts w:ascii="Arial" w:hAnsi="Arial" w:eastAsia="Arial" w:cs="Arial"/>
        </w:rPr>
        <w:t xml:space="preserve">Para atender as despesas decorrentes da presente resolução no corrente exercício, fica a Mesa da Câmara Municipal autorizada a utilizar a importância necessária da verba 111.8.00.4 – DESPESAS DIVERSAS – Item IX – Outras Despesas.</w:t>
      </w:r>
    </w:p>
    <w:p>
      <w:pPr>
        <w:jc w:val="both"/>
        <w:spacing w:line="360" w:lineRule="auto"/>
      </w:pPr>
      <w:r>
        <w:rPr>
          <w:rFonts w:ascii="Arial" w:hAnsi="Arial" w:eastAsia="Arial" w:cs="Arial"/>
          <w:b w:val="1"/>
          <w:bCs w:val="1"/>
        </w:rPr>
        <w:t xml:space="preserve">Parágrafo único. </w:t>
      </w:r>
      <w:r>
        <w:rPr>
          <w:rFonts w:ascii="Arial" w:hAnsi="Arial" w:eastAsia="Arial" w:cs="Arial"/>
        </w:rPr>
        <w:t xml:space="preserve">Para os próximos exercícios, a Mesa do Poder Legislativo fará incluir nos respectivos orçamentos as verbas necessárias.</w:t>
      </w:r>
    </w:p>
    <w:p>
      <w:pPr>
        <w:jc w:val="both"/>
        <w:spacing w:line="360" w:lineRule="auto"/>
      </w:pPr>
      <w:r>
        <w:rPr>
          <w:rFonts w:ascii="Arial" w:hAnsi="Arial" w:eastAsia="Arial" w:cs="Arial"/>
          <w:b w:val="1"/>
          <w:bCs w:val="1"/>
        </w:rPr>
        <w:t xml:space="preserve">Art. 5º </w:t>
      </w:r>
      <w:r>
        <w:rPr>
          <w:rFonts w:ascii="Arial" w:hAnsi="Arial" w:eastAsia="Arial" w:cs="Arial"/>
        </w:rPr>
        <w:t xml:space="preserve">Esta resolução terá a sua vigência contada a partir de 1º de janeiro de 1955, revogadas as disposições em contrário.</w:t>
      </w:r>
    </w:p>
    <w:p>
      <w:pPr>
        <w:jc w:val="center"/>
        <w:spacing w:line="360" w:lineRule="auto"/>
      </w:pPr>
      <w:r>
        <w:rPr>
          <w:rFonts w:ascii="Arial" w:hAnsi="Arial" w:eastAsia="Arial" w:cs="Arial"/>
          <w:i w:val="1"/>
          <w:iCs w:val="1"/>
        </w:rPr>
        <w:t xml:space="preserve">Sala das Sessões, 23 de novembro de 1955.</w:t>
      </w:r>
    </w:p>
    <w:p>
      <w:pPr>
        <w:jc w:val="center"/>
        <w:spacing w:line="360" w:lineRule="auto"/>
      </w:pPr>
      <w:r>
        <w:rPr>
          <w:rFonts w:ascii="Arial" w:hAnsi="Arial" w:eastAsia="Arial" w:cs="Arial"/>
          <w:b w:val="1"/>
          <w:bCs w:val="1"/>
          <w:i w:val="1"/>
          <w:iCs w:val="1"/>
        </w:rPr>
        <w:t xml:space="preserve">Ultimatun Fava</w:t>
      </w:r>
    </w:p>
    <w:p>
      <w:pPr>
        <w:jc w:val="center"/>
        <w:spacing w:line="360" w:lineRule="auto"/>
      </w:pPr>
      <w:r>
        <w:rPr>
          <w:rFonts w:ascii="Arial" w:hAnsi="Arial" w:eastAsia="Arial" w:cs="Arial"/>
          <w:i w:val="1"/>
          <w:iCs w:val="1"/>
        </w:rPr>
        <w:t xml:space="preserve">Presidente</w:t>
      </w:r>
    </w:p>
    <w:p>
      <w:pPr>
        <w:jc w:val="center"/>
        <w:spacing w:line="360" w:lineRule="auto"/>
      </w:pPr>
      <w:r>
        <w:rPr>
          <w:rFonts w:ascii="Arial" w:hAnsi="Arial" w:eastAsia="Arial" w:cs="Arial"/>
          <w:b w:val="1"/>
          <w:bCs w:val="1"/>
          <w:i w:val="1"/>
          <w:iCs w:val="1"/>
        </w:rPr>
        <w:t xml:space="preserve">Benedito Lopes de Oliveira</w:t>
      </w:r>
    </w:p>
    <w:p>
      <w:pPr>
        <w:jc w:val="center"/>
        <w:spacing w:line="360" w:lineRule="auto"/>
      </w:pPr>
      <w:r>
        <w:rPr>
          <w:rFonts w:ascii="Arial" w:hAnsi="Arial" w:eastAsia="Arial" w:cs="Arial"/>
          <w:i w:val="1"/>
          <w:iCs w:val="1"/>
        </w:rPr>
        <w:t xml:space="preserve">1º Secretário</w:t>
      </w:r>
    </w:p>
    <w:p>
      <w:pPr>
        <w:jc w:val="both"/>
        <w:spacing w:line="360" w:lineRule="auto"/>
      </w:pPr>
      <w:r>
        <w:rPr>
          <w:rFonts w:ascii="Arial" w:hAnsi="Arial" w:eastAsia="Arial" w:cs="Arial"/>
          <w:i w:val="1"/>
          <w:iCs w:val="1"/>
        </w:rPr>
        <w:t xml:space="preserve">Publicada e registrada na Secretaria da Câmara Municipal de Votuporanga, aos 23 de novembro de 1955.</w:t>
      </w:r>
    </w:p>
    <w:p>
      <w:pPr>
        <w:jc w:val="center"/>
        <w:spacing w:line="360" w:lineRule="auto"/>
      </w:pPr>
      <w:r>
        <w:rPr>
          <w:rFonts w:ascii="Arial" w:hAnsi="Arial" w:eastAsia="Arial" w:cs="Arial"/>
          <w:b w:val="1"/>
          <w:bCs w:val="1"/>
          <w:i w:val="1"/>
          <w:iCs w:val="1"/>
        </w:rPr>
        <w:t xml:space="preserve">Raphael Luiz Mayr</w:t>
      </w:r>
    </w:p>
    <w:p>
      <w:pPr>
        <w:jc w:val="center"/>
        <w:spacing w:line="360" w:lineRule="auto"/>
      </w:pPr>
      <w:r>
        <w:rPr>
          <w:rFonts w:ascii="Arial" w:hAnsi="Arial" w:eastAsia="Arial" w:cs="Arial"/>
          <w:i w:val="1"/>
          <w:iCs w:val="1"/>
        </w:rPr>
        <w:t xml:space="preserve">Diretor da Secretaria</w:t>
      </w:r>
    </w:p>
    <w:p/>
    <w:tbl>
      <w:tblGrid>
        <w:gridCol w:w="6500" w:type="dxa"/>
        <w:gridCol w:w="3500" w:type="dxa"/>
      </w:tblGrid>
      <w:tblPr>
        <w:tblStyle w:val="InstFooter"/>
      </w:tblPr>
      <w:tr>
        <w:trPr/>
        <w:tc>
          <w:tcPr>
            <w:tcW w:w="6500" w:type="dxa"/>
            <w:vAlign w:val="center"/>
            <w:tcBorders>
              <w:top w:val="single" w:sz="6" w:color="E2E8F0"/>
            </w:tcBorders>
            <w:shd w:val="clear" w:fill="FFFFFF"/>
            <w:noWrap/>
          </w:tcPr>
          <w:p>
            <w:pPr>
              <w:spacing w:after="60"/>
            </w:pPr>
            <w:r>
              <w:rPr>
                <w:rFonts w:ascii="Arial" w:hAnsi="Arial" w:eastAsia="Arial" w:cs="Arial"/>
                <w:color w:val="0F172A"/>
                <w:sz w:val="18"/>
                <w:szCs w:val="18"/>
              </w:rPr>
              <w:t xml:space="preserve">CÂMARA MUNICIPAL DE VOTUPORANGA</w:t>
            </w:r>
          </w:p>
          <w:p>
            <w:pPr>
              <w:spacing w:after="60"/>
            </w:pPr>
            <w:r>
              <w:rPr>
                <w:rFonts w:ascii="Arial" w:hAnsi="Arial" w:eastAsia="Arial" w:cs="Arial"/>
                <w:color w:val="64748B"/>
                <w:sz w:val="16"/>
                <w:szCs w:val="16"/>
              </w:rPr>
              <w:t xml:space="preserve">VOTUPORANGA / SP</w:t>
            </w:r>
          </w:p>
          <w:p>
            <w:pPr>
              <w:spacing w:after="0"/>
            </w:pPr>
            <w:r>
              <w:rPr>
                <w:rFonts w:ascii="Arial" w:hAnsi="Arial" w:eastAsia="Arial" w:cs="Arial"/>
                <w:color w:val="64748B"/>
                <w:sz w:val="14"/>
                <w:szCs w:val="14"/>
              </w:rPr>
              <w:t xml:space="preserve">Fonte: https://www.camaravotuporanga.sp.gov.br/legislacao/8226</w:t>
            </w:r>
          </w:p>
        </w:tc>
        <w:tc>
          <w:tcPr>
            <w:tcW w:w="3500" w:type="dxa"/>
            <w:vAlign w:val="center"/>
            <w:tcBorders>
              <w:top w:val="single" w:sz="6" w:color="E2E8F0"/>
            </w:tcBorders>
            <w:shd w:val="clear" w:fill="FFFFFF"/>
            <w:noWrap/>
          </w:tcPr>
          <w:p>
            <w:pPr>
              <w:jc w:val="end"/>
            </w:pPr>
            <w:r>
              <w:rPr>
                <w:rFonts w:ascii="Arial" w:hAnsi="Arial" w:eastAsia="Arial" w:cs="Arial"/>
                <w:color w:val="64748B"/>
                <w:sz w:val="16"/>
                <w:szCs w:val="16"/>
              </w:rPr>
              <w:t xml:space="preserve">Gerado em 20/08/2026 11:42</w:t>
            </w:r>
          </w:p>
        </w:tc>
      </w:tr>
    </w:tbl>
    <w:sectPr>
      <w:pgSz w:orient="portrait" w:w="11905.511811023622" w:h="16837.79527559055"/>
      <w:pgMar w:top="720" w:right="900" w:bottom="720" w:left="9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al.sp.gov.br/norma/699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2026-08-20T11:42:50-03:00</dcterms:created>
  <dcterms:modified xsi:type="dcterms:W3CDTF">2026-08-20T11:42:50-03:00</dcterms:modified>
</cp:coreProperties>
</file>

<file path=docProps/custom.xml><?xml version="1.0" encoding="utf-8"?>
<Properties xmlns="http://schemas.openxmlformats.org/officeDocument/2006/custom-properties" xmlns:vt="http://schemas.openxmlformats.org/officeDocument/2006/docPropsVTypes"/>
</file>