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11/2005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2005 · Data 31/10/2005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SENHOR CONSTANTINO SANTORO.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11, DE 31 DE OUTUBRO DE 2005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04/11/2005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SENHOR CONSTANTINO SANTORO.)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INCISO IV, DO ARTIGO 17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 </w:t>
      </w:r>
      <w:r>
        <w:rPr>
          <w:rFonts w:ascii="Arial" w:hAnsi="Arial" w:eastAsia="Arial" w:cs="Arial"/>
        </w:rPr>
        <w:t xml:space="preserve">Fica concedido ao Senhor CONSTANTINO SANTORO, o Título de Cidadão Votuporanguense,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02 de 08 de dezembro de 2003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entrará em vigor na data de sua publicação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31 de outubro de 2005.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OSMAIR LUIZ FERRARI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OSVALDO CARVALHO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31 de outubro de 2005.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JERÔNIMO FIGUEIRA DA COSTA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Este Decreto Legislativo teve origem no Projeto de Decreto Legislativo nº 11/05, de autoria do Vereador José Nelson Chino Bolotário.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https://www.camaravotuporanga.sp.gov.br/legislacao/7968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20:45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2003/dezembro/203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2026-08-25T20:45:29-03:00</dcterms:created>
  <dcterms:modified xsi:type="dcterms:W3CDTF">2026-08-25T20:45:29-03:00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