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3/1995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1995 · Data 21/08/1995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REYNALDO ESTEVAO ROSSI.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3, DE 21 DE AGOSTO DE 1995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REYNALDO ESTEVAO ROSSI.)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04/95, que se refere ao processo nº 086 de 1995,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 DA LEI ORGÂNICA DO MUNICÍPIO,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1°</w:t>
      </w:r>
      <w:r>
        <w:rPr>
          <w:rFonts w:ascii="Arial" w:hAnsi="Arial" w:eastAsia="Arial" w:cs="Arial"/>
        </w:rPr>
        <w:t xml:space="preserve"> Fica concedida ao SENHOR REYNALDO ESTEVÃO ROSSI, uma insígnia de Honra ao Mérito, pelos relevantes serviços prestados ao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entrega da referida honraria será feita em sessão solene, que se realizará em data a ser marcada pela Presidência, conforme os termos da Resolução nº 03/91, de 01 de abril de 1991.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2°</w:t>
      </w:r>
      <w:r>
        <w:rPr>
          <w:rFonts w:ascii="Arial" w:hAnsi="Arial" w:eastAsia="Arial" w:cs="Arial"/>
        </w:rPr>
        <w:t xml:space="preserve"> Este Decreto Legislativo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Dr. Octávio Viscardi, aos 21 de agosto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AMÉRICO ADAUTO LEVA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agosto de 1995.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Este Decreto Legislativo teve origem no Projeto de Decreto Legislativo no 04/95, de autoria do vereador Américo Adauto Leva.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https://www.camaravotuporanga.sp.gov.br/legislacao/7900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08:20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2026-08-19T08:20:30-03:00</dcterms:created>
  <dcterms:modified xsi:type="dcterms:W3CDTF">2026-08-19T08:20:30-03:00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