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296/2015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2015 · Data 22/09/2015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ART. 2º DA LEI COMPLEMENTAR Nº 252, DE 20 DE NOVEMBRO DE 2013 E DÁ OUTRAS PROVIDÊNCIAS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296, DE 22 DE SETEMBRO DE 2015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ART. 2º DA LEI COMPLEMENTAR Nº 252, DE 20 DE NOVEMBRO DE 2013 E DÁ OUTRAS PROVIDÊNCIAS)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ART.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art. 2º da </w:t>
      </w:r>
      <w:r>
        <w:rPr>
          <w:rFonts w:ascii="Arial" w:hAnsi="Arial" w:eastAsia="Arial" w:cs="Arial"/>
        </w:rPr>
        <w:t xml:space="preserve">Lei Complementar nº 252, de 20 de Novembro de 2013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2º</w:t>
      </w:r>
      <w:r>
        <w:rPr>
          <w:rFonts w:ascii="Arial" w:hAnsi="Arial" w:eastAsia="Arial" w:cs="Arial"/>
        </w:rPr>
        <w:t xml:space="preserve"> Para efeitos do disposto no art. 1º desta lei a gratificação prevista corresponderá a 37,5% (trinta e sete vírgula cinco por cento) do maior vencimento básico de cargo efetivo, de Grau I, do quadro de Servidores da Câmara Municipal e será concedida de forma mensal.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1º de setembro de 2015.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22 de setembro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no Departamento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do Departamento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https://www.camaravotuporanga.sp.gov.br/legislacao/7477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29/06/2026 21:09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2026-06-29T21:09:32-03:00</dcterms:created>
  <dcterms:modified xsi:type="dcterms:W3CDTF">2026-06-29T21:09:32-03:00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