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228/2013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2013 · Data 22/02/2013 · Status ALTERADA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O PLANO DE PROMOÇÃO DOS SERVIDORES PÚBLICOS MUNICIPAIS DA CÂMARA MUNICIPAL.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228, DE 22 DE FEVEREIRO DE 2013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23/02/2013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O PLANO DE PROMOÇÃO DOS SERVIDORES PÚBLICOS MUNICIPAIS DA CÂMARA MUNICIPAL.)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ART.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 Esta lei complementar dispõe sobre a promoção dos servidores públicos municipais da Câmara Municipal.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promoção será exclusivamente por tempo de serviço, consistindo na passagem do servidor, de um grau para o imediatamente superior, dentro do padrão de vencimento correspondente ao seu cargo, e ocorrerá no mês subsequente em que obtiver o tempo mencionado nesta lei complementar.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A promoção far-se-á por ato próprio, obedecendo-se o critério de efetivo exercício no serviço público local.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Terão direito à promoção de que trata este artigo, todos os servidores públicos municipais, exceto os ocupantes de cargos em comissão e os contratados por prazo determinado, nos termos da </w:t>
      </w:r>
      <w:r>
        <w:rPr>
          <w:rFonts w:ascii="Arial" w:hAnsi="Arial" w:eastAsia="Arial" w:cs="Arial"/>
        </w:rPr>
        <w:t xml:space="preserve">Lei Municipal nº 2.766, de 05 de maio de 1.995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O servidor que eventualmente vier a ocupar cargo em comissão terá ao retornar ao cargo de provimento efetivo, a contagem de tempo de serviço, para todos os fins.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Os interstícios de permanência para fins de promoção, computado sempre o tempo de efetivo exercício do servidor no nível de referência em que estiver enquadrado, serão de: 3 (três) anos no Grau I; 3 (três) anos no Grau II; 3 (três) anos no Grau III; 4 (quatro) anos no Grau IV; 5 (cinco) anos no Grau V; 5 (cinco) anos no Grau VI; 6 (seis) anos no Grau VII e 6 (seis) anos no Grau VIII.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 Interromper-se-á o interstício quando o servidor estiver afastado para ter exercício em cargo ou função de natureza diversa daquela de que é ocupante, exceto quando: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for nomeado para o exercício de cargo em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estiver afastado junto a órgãos da Administração Autárquica ou Fundacional do Município;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estiver afastado para frequentar cursos específicos, de interesse da administração;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- estiver afastado sem prejuízo de vencimentos, para participar de cursos, congressos ou demais certames afetos à respectiva área de atuação, pelo prazo máximo de 90 (noventa) dias.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Os servidores serão indistintamente enquadrados nos cargos ou empregos através de ato próprio, nos respectivos graus, de conformidade com o tempo de serviço público municipal local.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 Para efeito de enquadramento não serão considerados como de efetivo exercício: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faltas injustificadas;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- suspensão disciplinar;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- licença para tratamento da própria saúde, que exceder o limite de 2 (dois) anos, cumulativos ao longo do tempo de serviço público municipal, exceto se por acidente de trabalho ou doença profissional;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- licença por motivo de tratamento de saúde em pessoa da família;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- exercício de cargo ou função nos governos federal, estadual ou qualquer outro Município;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 - pena de prisão;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VII - qualquer afastamento não remunerado.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 Os benefícios constantes do “caput” deste artigo, serão também, concedidos aos servidores inativos, obedecendo-se os mesmos critérios.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3º</w:t>
      </w:r>
      <w:r>
        <w:rPr>
          <w:rFonts w:ascii="Arial" w:hAnsi="Arial" w:eastAsia="Arial" w:cs="Arial"/>
        </w:rPr>
        <w:t xml:space="preserve"> Ao servidor público aprovado em concurso para novo cargo, o enquadramento será feito no mesmo grau em que se encontrava.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 Os servidores públicos da Câmara Municipal serão regidos pelo regime jurídico estatutário de que trata a </w:t>
      </w:r>
      <w:r>
        <w:rPr>
          <w:rFonts w:ascii="Arial" w:hAnsi="Arial" w:eastAsia="Arial" w:cs="Arial"/>
        </w:rPr>
        <w:t xml:space="preserve">Lei Complementar Municipal nº 187, de 30 de agosto de 2011</w:t>
      </w:r>
      <w:r>
        <w:rPr>
          <w:rFonts w:ascii="Arial" w:hAnsi="Arial" w:eastAsia="Arial" w:cs="Arial"/>
        </w:rPr>
        <w:t xml:space="preserve"> e vinculados ao Instituto de Previdência do Município – VOTUPREV.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7º</w:t>
      </w:r>
      <w:r>
        <w:rPr>
          <w:rFonts w:ascii="Arial" w:hAnsi="Arial" w:eastAsia="Arial" w:cs="Arial"/>
        </w:rPr>
        <w:t xml:space="preserve"> Esta lei complementar entrará em vigor na data de sua publicação, retroagindo seus efeitos a 1º de fevereiro de 2.013.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22 de fevereiro de 2013.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complementar teve origem no projeto de Lei Complementar nº 0005/2013 de autoria da Mesa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https://www.camaravotuporanga.sp.gov.br/legislacao/7409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20/06/2026 09:51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2026-06-20T09:51:39-03:00</dcterms:created>
  <dcterms:modified xsi:type="dcterms:W3CDTF">2026-06-20T09:51:39-03:00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