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COMPLEMENTAR Nº 143/2009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2009 · Data 25/08/2009 · Status ALTERADA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ALTERAÇÕES DA LEI COMPLEMENTAR Nº 127 DE 17 DE DEZEMBRO DE 2008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COMPLEMENTAR Nº 143, DE 25 DE AGOSTO DE 2009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ALTERAÇÕES DA LEI COMPLEMENTAR Nº 127 DE 17 DE DEZEMBRO DE 2008 E DÁ OUTRAS PROVIDÊNCIAS.)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O Artigo 14 da </w:t>
      </w:r>
      <w:r>
        <w:rPr>
          <w:rFonts w:ascii="Arial" w:hAnsi="Arial" w:eastAsia="Arial" w:cs="Arial"/>
        </w:rPr>
        <w:t xml:space="preserve">Lei Complementar nº 127, de 17 de dezembro de 2008</w:t>
      </w:r>
      <w:r>
        <w:rPr>
          <w:rFonts w:ascii="Arial" w:hAnsi="Arial" w:eastAsia="Arial" w:cs="Arial"/>
        </w:rPr>
        <w:t xml:space="preserve"> passa a vigorar com a seguinte redação:</w:t>
      </w:r>
      <w:r>
        <w:rPr>
          <w:rFonts w:ascii="Arial" w:hAnsi="Arial" w:eastAsia="Arial" w:cs="Arial"/>
        </w:rPr>
        <w:t xml:space="preserve">(Revogado pela Lei Complementar nº 189, de 19.10.2011)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“SEÇÃO IX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DA SECRETARIA MUNICIPAL DE DESENVOLVIMENTO URBANO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14.</w:t>
      </w:r>
      <w:r>
        <w:rPr>
          <w:rFonts w:ascii="Arial" w:hAnsi="Arial" w:eastAsia="Arial" w:cs="Arial"/>
        </w:rPr>
        <w:t xml:space="preserve"> A Secretaria Municipal de Desenvolvimento Urbano é o órgão que tem por finalidade o planejamento e estudo da expansão da cidade, bem como os projetos de urbanismo do poder público municipal, controla o uso e a ocupação do solo, promove a preservação da paisagem e do meio ambiente e controla ações nas áreas de transporte, trânsito e segurança. Compete a esta Secretaria coordenar as atividades de planejamento urbano e de implementação do Plano Diretor do Município, em colaboração com os demais órgãos e entidades da Administração Municipal; elaborar, monitorar e avaliar planos, programas e projetos de desenvolvimento urbano e ambiente; normatizar, monitorar e avaliar as ações de intervenção urbana, coordenar a elaboração das propostas de legislação urbanística municipal e licenciar as atividades econômicas e ambientais. A sua competência está também desenvolver e implantar políticas que promovam a mobilidade, proteção e segurança do cidadão, gerindo e disciplinando o trânsito municipal e fiscalizando o serviço de transporte coletivo na cidade. É de sua responsabilidade a manutenção de arquivo cartográfico bem com a elaboração e coordenação de projetos particulares. Deverá ainda, do ponto de vista da construção civil de imóveis particulares prestar atendimento ao público, orientar as normas construtivas e de elaboração de projetos, efetuar análise e aprovação de plantas e projetos de construções, reformas e ampliações e proceder à fiscalização das obras particulares para avaliar o correto cumprimento da legislação pertinente, inclusive com expedição de “Habite-se” às construções novas.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Parágrafo único.</w:t>
      </w:r>
      <w:r>
        <w:rPr>
          <w:rFonts w:ascii="Arial" w:hAnsi="Arial" w:eastAsia="Arial" w:cs="Arial"/>
        </w:rPr>
        <w:t xml:space="preserve"> A Secretaria Municipal de Desenvolvimento Urbano compõe-se das seguintes unidades: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 – DEPARTAMENTO DE PLANEJAMENTO URBANO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1.1 – DIVISÃO DE DESENVOLVIMENTO URBANO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1.2 – DIVISÃO ARQUITETURA E CONTROLE URBANO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1.3 – DIVISÃO DE CADASTRO FÍSICO E TOPOGRAFIA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1.3.1 – Setor de Cartografia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1.3.2 – Setor de Cadastro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1.4 – DIVISÃO DE OBRAS PARTICULARES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1.4.1 – Setor de Documentos e Conferência de Projetos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1.4.2 – Setor de Aprovação de Projetos e Fiscalização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 – DEPARTAMENTO DE SEGURANÇA, TRÂNSITO E TRANSPORTE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2.1 – DIVISÃO DE TRÂNSITO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2.2 – DIVISÃO DE TRANSPORTE</w:t>
      </w:r>
      <w:r>
        <w:rPr>
          <w:rFonts w:ascii="Arial" w:hAnsi="Arial" w:eastAsia="Arial" w:cs="Arial"/>
        </w:rPr>
        <w:t xml:space="preserve">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O Artigo 19 da </w:t>
      </w:r>
      <w:r>
        <w:rPr>
          <w:rFonts w:ascii="Arial" w:hAnsi="Arial" w:eastAsia="Arial" w:cs="Arial"/>
        </w:rPr>
        <w:t xml:space="preserve">Lei Complementar nº 127, de 17 de dezembro de 2008</w:t>
      </w:r>
      <w:r>
        <w:rPr>
          <w:rFonts w:ascii="Arial" w:hAnsi="Arial" w:eastAsia="Arial" w:cs="Arial"/>
        </w:rPr>
        <w:t xml:space="preserve"> passa a vigorar com a seguinte redação:</w:t>
      </w:r>
      <w:r>
        <w:rPr>
          <w:rFonts w:ascii="Arial" w:hAnsi="Arial" w:eastAsia="Arial" w:cs="Arial"/>
        </w:rPr>
        <w:t xml:space="preserve">(Revogado pela Lei Complementar nº 189, de 19.10.2011)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“SEÇÃO XIII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DA SECRETARIA MUNICIPAL DE OBRAS E HABITAÇÃO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19.</w:t>
      </w:r>
      <w:r>
        <w:rPr>
          <w:rFonts w:ascii="Arial" w:hAnsi="Arial" w:eastAsia="Arial" w:cs="Arial"/>
        </w:rPr>
        <w:t xml:space="preserve"> A Secretaria Municipal de Obras e Habitação é o órgão que tem por finalidade a execução de levantamento topográfico, orçamentação, fiscalização e elaboração de memoriais descritivos e demais providencias complementares necessárias para a execução de obras públicas de interesse do município, independente da execução, seja por administração direta ou indireta; realização de estudos, laudos, perícias e pareceres técnicos de engenharia; responsável, ainda, pela execução das obras de infra-estrutura do município, como obras de galerias de águas pluviais e pavimentação asfáltica. Executar diretamente ou em conjunto com outros órgãos outras atividades correlatas que lhe forem determinadas. Na área de habitação estabelecer programas destinados a facilitar o acesso da população de baixa renda à habitação, bem como à melhoria da moradia e das condições de habitabilidade como elemento essencial no atendimento do princípio da função social da cidade e promover programas de habitação popular em articulação com os órgãos federais, estaduais e regionais, como também através de consórcios municipais e pelas organizações da sociedade civil, além de promover o acesso da população a lotes urbanizados dotados de infra-estrutura básica e estimular a iniciativa privada a contribuir para promover a melhoria das condições habitacionais e aumentar a oferta de moradias adequadas e compatíveis com a capacidade econômica da população. É responsável ainda pela coordenação de projetos institucionais para captação de recursos.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Parágrafo único.</w:t>
      </w:r>
      <w:r>
        <w:rPr>
          <w:rFonts w:ascii="Arial" w:hAnsi="Arial" w:eastAsia="Arial" w:cs="Arial"/>
        </w:rPr>
        <w:t xml:space="preserve"> A Secretaria Municipal de Obras e Habitação compõe-se das seguintes unidades: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 – DEPARTAMENTO DE OBRAS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1.1 – DIVISÃO DE OBRAS PÚBLICAS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1.1.1 – Setor de Acompanhamento de Obras e Edificação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 – DEPARTAMENTO DE HABITAÇÃO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2.1 – DIVISÃO DE PLANEJAMENTO E PROJETO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2.2 – DIVISÃO DE APOIO À COMUNIDADE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2.2.1 - Setor de Mobilização e Organização Comunitária e Estudo Socioeconômico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 – DEPARTAMENTO DE PROJETOS E INSTITUCIONAIS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 – DIVISÃO DE NEGÓCIOS, CONTRATOS E REGISTRO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3.1.1 – Setor de Projetos e Captação de Recursos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 – DEPARTAMENTO DE TOPOGRAFIA E DRENAGEM URBANA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4.1 – DIVISÃO DE LEVANTAMENTO TOPOGRÁFICO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4.1.1 – Setor de Estudos e Projetos</w:t>
      </w:r>
      <w:r>
        <w:rPr>
          <w:rFonts w:ascii="Arial" w:hAnsi="Arial" w:eastAsia="Arial" w:cs="Arial"/>
        </w:rPr>
        <w:t xml:space="preserve">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O § 2º do Artigo 18 da </w:t>
      </w:r>
      <w:r>
        <w:rPr>
          <w:rFonts w:ascii="Arial" w:hAnsi="Arial" w:eastAsia="Arial" w:cs="Arial"/>
        </w:rPr>
        <w:t xml:space="preserve">Lei Complementar nº 127 de 17 de dezembro de 2008</w:t>
      </w:r>
      <w:r>
        <w:rPr>
          <w:rFonts w:ascii="Arial" w:hAnsi="Arial" w:eastAsia="Arial" w:cs="Arial"/>
        </w:rPr>
        <w:t xml:space="preserve"> passa a vigorar com a seguinte redação: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“§ 2º</w:t>
      </w:r>
      <w:r>
        <w:rPr>
          <w:rFonts w:ascii="Arial" w:hAnsi="Arial" w:eastAsia="Arial" w:cs="Arial"/>
        </w:rPr>
        <w:t xml:space="preserve"> A Secretaria Municipal de Gestão Administrativa compõe-se das seguintes unidades: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RECURSOS HUMANOS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 – DEPARTAMENTO DE REGISTRO DE PESSOAL E FOLHA DE PAGAMENTO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1.1.1 – Setor de Apoio ao Servidor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1.1.2 – Setor de Registro e Documentação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1.1.3 – Setor de Folha de Pagamento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1.2 – DIVISÃO DE DESENVOLVIMENTO DE PESSOAS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1.2.1 – Setor de Recrutamento, Seleção e Treinamento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 – DEPARTAMENTO DE RECURSOS MATERIAIS E INFRAESTRUTURA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2.1 – DIVISÃO DE ADMINISTRAÇÃO DA FROTA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2.1.1– Setor de Manutenção de Frota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2.2 – DIVISÃO DE TECNOLOGIA DA INFORMAÇÃO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2.2.1 – Setor de Tecnologia e Cadastro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2.3 – DIVISÃO DE LICITAÇÕES E CONTRATOS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2.4 – DIVISÃO DE COMPRAS E CADASTRO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2.4.1 – Setor de Compras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2.4.2 – Setor de Cadastro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2.5 – DIVISÃO DE SUPRIMENTOS E SERVIÇOS GERAIS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2.5.1 – Setor de Arquivo, Conservação e Limpeza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2.5.2 – Setor de Patrimônio Físico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2.5.3 – Setor de Almoxarifado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2.6 – DIVISÃO DE CONTROLE E PLANEJAMENTO ESTRATÉGICO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2.7 – DIVISÃO DE ATENDIMENTO AO PÚBLICO</w:t>
      </w:r>
      <w:r>
        <w:rPr>
          <w:rFonts w:ascii="Arial" w:hAnsi="Arial" w:eastAsia="Arial" w:cs="Arial"/>
        </w:rPr>
        <w:t xml:space="preserve">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 Fica extinto um (1) Cargo em Comissão de Assessor de Gestão Pública, constante no Artigo 26 da </w:t>
      </w:r>
      <w:r>
        <w:rPr>
          <w:rFonts w:ascii="Arial" w:hAnsi="Arial" w:eastAsia="Arial" w:cs="Arial"/>
        </w:rPr>
        <w:t xml:space="preserve">Lei Complementar 127 de 17 de dezembro de 2008</w:t>
      </w:r>
      <w:r>
        <w:rPr>
          <w:rFonts w:ascii="Arial" w:hAnsi="Arial" w:eastAsia="Arial" w:cs="Arial"/>
        </w:rPr>
        <w:t xml:space="preserve">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5º</w:t>
      </w:r>
      <w:r>
        <w:rPr>
          <w:rFonts w:ascii="Arial" w:hAnsi="Arial" w:eastAsia="Arial" w:cs="Arial"/>
        </w:rPr>
        <w:t xml:space="preserve"> Esta Lei Complementar entrará em vigor na data de sua publicação, retroagindo seus efeitos a partir de 01 de agosto de 2009.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6º</w:t>
      </w:r>
      <w:r>
        <w:rPr>
          <w:rFonts w:ascii="Arial" w:hAnsi="Arial" w:eastAsia="Arial" w:cs="Arial"/>
        </w:rPr>
        <w:t xml:space="preserve"> Revogam-se as disposições em contrário.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25 de agosto de 2009.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Complementar sofreu emenda da Comissão de Justiça e Redação da Câmara Municipal.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https://www.camaravotuporanga.sp.gov.br/legislacao/7324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01/07/2026 09:50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2026-07-01T09:50:26-03:00</dcterms:created>
  <dcterms:modified xsi:type="dcterms:W3CDTF">2026-07-01T09:50:26-03:00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