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5.571/2015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2015 · Data 24/03/2015 · Status REVOGADA TOTALMENTE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4653, DE 20 DE AGOSTO DE 2009 E ALTERAÇÕES POSTERIORES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5.571, DE 24 DE MARÇO DE 2015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4653, DE 20 DE AGOSTO DE 2009 E ALTERAÇÕES POSTERIORES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 Fica alterado o § 1º do Artigo 1º da </w:t>
      </w:r>
      <w:r>
        <w:rPr>
          <w:rFonts w:ascii="Arial" w:hAnsi="Arial" w:eastAsia="Arial" w:cs="Arial"/>
        </w:rPr>
        <w:t xml:space="preserve">Lei nº 4.653, de 20 de agosto de 2009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4.738 de 16 de março de 2010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4.923 de 21 de março de 2011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5.071 de 20 de março de 2012</w:t>
      </w:r>
      <w:r>
        <w:rPr>
          <w:rFonts w:ascii="Arial" w:hAnsi="Arial" w:eastAsia="Arial" w:cs="Arial"/>
        </w:rPr>
        <w:t xml:space="preserve">, alterada pela </w:t>
      </w:r>
      <w:r>
        <w:rPr>
          <w:rFonts w:ascii="Arial" w:hAnsi="Arial" w:eastAsia="Arial" w:cs="Arial"/>
        </w:rPr>
        <w:t xml:space="preserve">Lei nº 5.252 de 20 de março de 2013</w:t>
      </w:r>
      <w:r>
        <w:rPr>
          <w:rFonts w:ascii="Arial" w:hAnsi="Arial" w:eastAsia="Arial" w:cs="Arial"/>
        </w:rPr>
        <w:t xml:space="preserve"> e </w:t>
      </w:r>
      <w:r>
        <w:rPr>
          <w:rFonts w:ascii="Arial" w:hAnsi="Arial" w:eastAsia="Arial" w:cs="Arial"/>
        </w:rPr>
        <w:t xml:space="preserve">Lei nº 5.421, de 20 de março de 2014</w:t>
      </w:r>
      <w:r>
        <w:rPr>
          <w:rFonts w:ascii="Arial" w:hAnsi="Arial" w:eastAsia="Arial" w:cs="Arial"/>
        </w:rPr>
        <w:t xml:space="preserve">, que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“§ 1º</w:t>
      </w:r>
      <w:r>
        <w:rPr>
          <w:rFonts w:ascii="Arial" w:hAnsi="Arial" w:eastAsia="Arial" w:cs="Arial"/>
        </w:rPr>
        <w:t xml:space="preserve"> O benefício do Auxílio Alimentação será de R$ 200,00 (duzentos reais), entre os meses de março de 2015 à fevereiro de 2016.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As despesas decorrentes da execução desta Lei onerarão as dotações orçamentárias próprias do orçamento vigente,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Esta Lei entrará em vigor na data de sua publicação, retroagindo seus efeitos a 1º de março de 2015.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24 de março de 2015.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no Departamento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do Departamento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https://www.camaravotuporanga.sp.gov.br/legislacao/5572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19/06/2026 08:00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2026-06-19T08:00:27-03:00</dcterms:created>
  <dcterms:modified xsi:type="dcterms:W3CDTF">2026-06-19T08:00:27-03:00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