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4.824/2010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2010 · Data 01/09/2010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CONCEDER SUBVENÇÃO SOCIAL A ENTIDADE QUE ESPECIFICA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4.824, DE 1 DE SETEMBRO DE 2010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CONCEDER SUBVENÇÃO SOCIAL A ENTIDADE QUE ESPECIFICA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conceder subvenção social a SANTA CASA DE MISERICÓRDIA DE VOTUPORANGA, no valor de R$ 750.000,00 (setecentos e cinquenta mil reais), em até 05 (cinco) parcelas.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Fica ainda o Poder Executivo autorizado a adequar os anexos II e III da </w:t>
      </w:r>
      <w:r>
        <w:rPr>
          <w:rFonts w:ascii="Arial" w:hAnsi="Arial" w:eastAsia="Arial" w:cs="Arial"/>
        </w:rPr>
        <w:t xml:space="preserve">Lei n° 4.629, de 01 de julho de 2009</w:t>
      </w:r>
      <w:r>
        <w:rPr>
          <w:rFonts w:ascii="Arial" w:hAnsi="Arial" w:eastAsia="Arial" w:cs="Arial"/>
        </w:rPr>
        <w:t xml:space="preserve">, Plano Plurianual para o exercício de 2010 a 2013.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 Fica o Poder Executivo autorizado a adequar os Anexos V e VI da </w:t>
      </w:r>
      <w:r>
        <w:rPr>
          <w:rFonts w:ascii="Arial" w:hAnsi="Arial" w:eastAsia="Arial" w:cs="Arial"/>
        </w:rPr>
        <w:t xml:space="preserve">Lei 4.630, de 01 de julho de 2009</w:t>
      </w:r>
      <w:r>
        <w:rPr>
          <w:rFonts w:ascii="Arial" w:hAnsi="Arial" w:eastAsia="Arial" w:cs="Arial"/>
        </w:rPr>
        <w:t xml:space="preserve">, Lei de Diretrizes Orçamentárias para o exercício de 2010.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Fica o Poder Executivo autorizado a abrir crédito adicional suplementar na Prefeitura do Município de Votuporanga no valor de R$ 450.000,00 (quatrocentos e cinquenta mil reais) destinados 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 – 02 - PREFEITURA MUNICIPAL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 – 14 - Secretaria Municipal de Saúde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Executora – 01 – Fundo Municipal de Saude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3.0.00.00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3.3.00.00 Outras Despesas Correntes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3.3.50.00 Transferências a Instituições privadas sem fins lucrativos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3.3.50.43 103010037.2.014 Subvenções Sociais..............................R$ 450.000,00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Fonte de Recurso 01 - Tesouro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 A cobertura do crédito autorizado pelo artigo 4º será efetuada mediante a utilização dos recursos nos termos previstos no artigo 43, § 1º, inciso II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, considerando-se ainda, a tendência do exercício.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 Fica a entidade obrigada a prestar contas até 31 de janeiro do ano subseqüente ao recebimento do recurso.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 Esta lei será regulamentada por decreto do Poder Executivo no que couber.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8º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Municipal, “Dr. Tancredo de Almeida Neves”, 1º de setembro de 2010.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 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https://www.camaravotuporanga.sp.gov.br/legislacao/4826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02/07/2026 04:27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2026-07-02T04:27:51-03:00</dcterms:created>
  <dcterms:modified xsi:type="dcterms:W3CDTF">2026-07-02T04:27:51-03:00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