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4.479/2008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21/07/2008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 CONCESSÃO DE PRAZO PARA REGULARIZAÇÃO DE OBRAS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4.479, DE 21 DE JULHO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 CONCESSÃO DE PRAZO PARA REGULARIZAÇÃO DE OBRAS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prazo de trezentos e sessenta dias para regularização de edificações que estejam situadas em loteamentos regularmente implantados, que não atendam os dispositivos da Lei do Zoneamento, do Código Municipal de Edificações, do Código Sanitário e somente nos casos em que a irregularidade não cause incômodos a vizinhança, prejuízos ao patrimônio ou risco aos usuários.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Os interessados deverão publicar na imprensa local, a comunicação da solicitação e apresentar ao Setor de Controle Arquitetônico da Prefeitura, juntamente com os projetos e memoriais, o recorte do periódico onde deverão constar no mínimo, o nome do proprietário, o nome do responsável técnico, o endereço do imóvel e o beneficiário solicitado;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Os processos serão aprovados em caráter inicial e ficará a disposição na Prefeitura durante os sete dias subsequentes, prazo esse em que, qualquer pessoa que se considere prejudicada poderá apresentar justificativa e solicitar revisão do ato à autoridade competente, findo o prazo os projetos receberão aprovação definitiva;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</w:t>
      </w:r>
      <w:r>
        <w:rPr>
          <w:rFonts w:ascii="Arial" w:hAnsi="Arial" w:eastAsia="Arial" w:cs="Arial"/>
        </w:rPr>
        <w:t xml:space="preserve"> No caso das irregularidades quanto às áreas de iluminação e ventilação serão admitidas, para efeito de regularização, aberturas com no mínimo de 50% daquelas previstas pelo Código Sanitário;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4º</w:t>
      </w:r>
      <w:r>
        <w:rPr>
          <w:rFonts w:ascii="Arial" w:hAnsi="Arial" w:eastAsia="Arial" w:cs="Arial"/>
        </w:rPr>
        <w:t xml:space="preserve"> As irregularidades relativas às normas do Código Sanitário deverão ser corrigidas durante o prazo máximo de cinco anos, período em que o proprietário poderá solicitar licença para ampliações ou reformas desde que cumpra as exigências das anotações de desconformidade pertinentes;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projetos técnicos de regularização deverão descrever de forma detalhada todos os elementos da edificação, inclusive as desconformidades, através de desenho técnico e memorial descritivo completo.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Os profissionais responsáveis pela regularização deverão declarar no memorial descritivo, a exatidão das informações prestadas que deverão abranger todas as desconformidades existentes no imóvel;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Projetos e memoriais sumários não serão admitidos;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 regularização só será permitida uma vez por imóvel.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Aos proprietários reincidentes fica vedado o benefício desta lei.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entrará em vigor na data de sua publicação.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21 de julho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157/08 de autoria do Vereador Mehde Meidão Slaiman Kanso.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https://www.camaravotuporanga.sp.gov.br/legislacao/4481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26/06/2026 01:32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2026-06-26T01:32:17-03:00</dcterms:created>
  <dcterms:modified xsi:type="dcterms:W3CDTF">2026-06-26T01:32:17-03:00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