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4.142/2006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18/10/2006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DENOMINAÇÃO DE RUA SOLDADO VALTER CORTE NASCIMENTO.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4.142, DE 18 DE OUTUBRO DE 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DENOMINAÇÃO DE RUA SOLDADO VALTER CORTE NASCIMENTO.)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Passa a denominar-se </w:t>
      </w:r>
      <w:r>
        <w:rPr>
          <w:rFonts w:ascii="Arial" w:hAnsi="Arial" w:eastAsia="Arial" w:cs="Arial"/>
        </w:rPr>
        <w:t xml:space="preserve">RUA SOLDADO VALTER CORTE NASCIMENTO</w:t>
      </w:r>
      <w:r>
        <w:rPr>
          <w:rFonts w:ascii="Arial" w:hAnsi="Arial" w:eastAsia="Arial" w:cs="Arial"/>
        </w:rPr>
        <w:t xml:space="preserve">, a atual rua Projetada 4, localizada no Jardim Residencial Portal do Sol, nesta cidade.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18 de outubro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236/2006 de autoria do Vereador Osvaldo Carvalho da Silva.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https://www.camaravotuporanga.sp.gov.br/legislacao/4144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03/07/2026 17:08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2026-07-03T17:08:26-03:00</dcterms:created>
  <dcterms:modified xsi:type="dcterms:W3CDTF">2026-07-03T17:08:26-03:00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