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LEI ORDINÁRIA Nº 3.270/2000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2000 · Data 13/04/2000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 SUBSÍDIOS DOS VEREADORES DA CÂMARA MUNICIPAL PARA A LEGISLATURA 2001 A 2004 E DÁ OUTRAS PROVIDÊNCIAS.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LEI ORDINÁRIA Nº 3.270, DE 13 DE ABRIL DE 2000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 SUBSÍDIOS DOS VEREADORES DA CÂMARA MUNICIPAL PARA A LEGISLATURA 2001 A 2004 E DÁ OUTRAS PROVIDÊNCIAS.)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ARTIGO 53, III DA LEI ORGÂNICA DO MUNICÍPIO, SANCIONO E PROMULGO A SEGUINTE LEI: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Art. 1º</w:t>
      </w:r>
      <w:r>
        <w:rPr>
          <w:rFonts w:ascii="Arial" w:hAnsi="Arial" w:eastAsia="Arial" w:cs="Arial"/>
        </w:rPr>
        <w:t xml:space="preserve"> O subsídio mensal do Vereador à Câmara Municipal será o correspondente a trinta por cento do subsídio do deputado estadual.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Art. 2º</w:t>
      </w:r>
      <w:r>
        <w:rPr>
          <w:rFonts w:ascii="Arial" w:hAnsi="Arial" w:eastAsia="Arial" w:cs="Arial"/>
        </w:rPr>
        <w:t xml:space="preserve"> O Vereador Presidente enquanto mantiver esta qualidade, perceberá o subsídio de sessenta por cento dos deputados estaduais.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Art. 3º</w:t>
      </w:r>
      <w:r>
        <w:rPr>
          <w:rFonts w:ascii="Arial" w:hAnsi="Arial" w:eastAsia="Arial" w:cs="Arial"/>
        </w:rPr>
        <w:t xml:space="preserve"> As sessões extraordinárias a serem realizadas não gerarão nenhum direito a percepção de subsídios.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Art. 4º</w:t>
      </w:r>
      <w:r>
        <w:rPr>
          <w:rFonts w:ascii="Arial" w:hAnsi="Arial" w:eastAsia="Arial" w:cs="Arial"/>
        </w:rPr>
        <w:t xml:space="preserve"> A ausência do vereador, em sessões ordinárias efetivamente realizadas, implicará num desconto de três pontos setenta e cinco por cento, por sessão, salvo motivo justo aceito pela Presidência.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Art. 5º</w:t>
      </w:r>
      <w:r>
        <w:rPr>
          <w:rFonts w:ascii="Arial" w:hAnsi="Arial" w:eastAsia="Arial" w:cs="Arial"/>
        </w:rPr>
        <w:t xml:space="preserve"> Os subsídios de que trata esta Lei poderão ser revistos, nos termos do inciso X, do artigo 37, da </w:t>
      </w:r>
      <w:r>
        <w:rPr>
          <w:rFonts w:ascii="Arial" w:hAnsi="Arial" w:eastAsia="Arial" w:cs="Arial"/>
        </w:rPr>
        <w:t xml:space="preserve">Constituição Federal</w:t>
      </w:r>
      <w:r>
        <w:rPr>
          <w:rFonts w:ascii="Arial" w:hAnsi="Arial" w:eastAsia="Arial" w:cs="Arial"/>
        </w:rPr>
        <w:t xml:space="preserve">.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Art. 6º</w:t>
      </w:r>
      <w:r>
        <w:rPr>
          <w:rFonts w:ascii="Arial" w:hAnsi="Arial" w:eastAsia="Arial" w:cs="Arial"/>
        </w:rPr>
        <w:t xml:space="preserve"> As despesas decorrentes com a execução da presente Lei correrão por conta de dotação orçamentária própria, suplementada se necessária.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Art. 7º</w:t>
      </w:r>
      <w:r>
        <w:rPr>
          <w:rFonts w:ascii="Arial" w:hAnsi="Arial" w:eastAsia="Arial" w:cs="Arial"/>
        </w:rPr>
        <w:t xml:space="preserve"> Esta Lei entrará em vigor na data de sua publicação, gerando seus efeitos em 1º de janeiro de 2.001.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Paço Municipal “Dr. Tancredo de Almeida Neves”, 13 de abril de 2.000.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DR. ATILIO POZZOBON NETO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Prefeito Municipal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Publicada e registrada na Divisão de Comunicação Administrativa da Prefeitura Municipal, data supra.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MARIA APARECIDA DE SOUZA MORETTI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Diretora da Divisão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Esta Lei teve origem no Projeto de Lei nº 36/00, de autoria da Comissão de Finanças e Orçamento da Câmara Municipal.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https://www.camaravotuporanga.sp.gov.br/legislacao/3272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27/08/2026 12:46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2026-08-27T12:46:44-03:00</dcterms:created>
  <dcterms:modified xsi:type="dcterms:W3CDTF">2026-08-27T12:46:44-03:00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