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3.262/2000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28/03/2000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TRAVESSA.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3.262, DE 28 DE MARÇO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TRAVESSA.)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 VOTUPORANGA APROVOU E EU, NOS TERMOS DO 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Passa a denominar-se </w:t>
      </w:r>
      <w:r>
        <w:rPr>
          <w:rFonts w:ascii="Arial" w:hAnsi="Arial" w:eastAsia="Arial" w:cs="Arial"/>
        </w:rPr>
        <w:t xml:space="preserve">“TRAVESSA OLINDO MORETTIN”</w:t>
      </w:r>
      <w:r>
        <w:rPr>
          <w:rFonts w:ascii="Arial" w:hAnsi="Arial" w:eastAsia="Arial" w:cs="Arial"/>
        </w:rPr>
        <w:t xml:space="preserve">, a atual Travessa 6, localizada no Parque Residencial Santa Amélia,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Esta Lei entrará em vigor na data de sua publicação, gerando seus efeitos após cento e oitenta dias de sua aprovação.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28 de março de 2.000. 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31/00, de autoria do Vereador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2026-08-27T12:46:48-03:00</dcterms:created>
  <dcterms:modified xsi:type="dcterms:W3CDTF">2026-08-27T12:46:48-03:00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