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3.261/2000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28/03/2000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DENOMINAÇÃO DE RUA.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3.261, DE 28 DE MARÇO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DENOMINAÇÃO DE RUA.)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 VOTUPORANGA APROVOU E EU, NOS TERMOS DO 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Passa a denominar-se </w:t>
      </w:r>
      <w:r>
        <w:rPr>
          <w:rFonts w:ascii="Arial" w:hAnsi="Arial" w:eastAsia="Arial" w:cs="Arial"/>
        </w:rPr>
        <w:t xml:space="preserve">“RUA MÁRIO LARIDONDO</w:t>
      </w:r>
      <w:r>
        <w:rPr>
          <w:rFonts w:ascii="Arial" w:hAnsi="Arial" w:eastAsia="Arial" w:cs="Arial"/>
        </w:rPr>
        <w:t xml:space="preserve">”, a atual Rua 47, localizada no Bairro Jardim dos Pinheiros,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Esta Lei entrará em vigor na data de sua publicação, gerando seus efeitos após cento e oitenta dias de sua aprovação.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28 de março de 2.000. 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27/00,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https://www.camaravotuporanga.sp.gov.br/legislacao/3263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2026-08-27T12:46:35-03:00</dcterms:created>
  <dcterms:modified xsi:type="dcterms:W3CDTF">2026-08-27T12:46:35-03:00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